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6B091" w14:textId="77777777" w:rsidR="007807BA" w:rsidRDefault="007807BA">
      <w:pPr>
        <w:pStyle w:val="BodyText"/>
        <w:spacing w:before="3"/>
        <w:rPr>
          <w:rFonts w:ascii="Times New Roman"/>
          <w:sz w:val="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6"/>
        <w:gridCol w:w="5221"/>
      </w:tblGrid>
      <w:tr w:rsidR="007807BA" w14:paraId="64CC2BFB" w14:textId="77777777">
        <w:trPr>
          <w:trHeight w:val="453"/>
        </w:trPr>
        <w:tc>
          <w:tcPr>
            <w:tcW w:w="4856" w:type="dxa"/>
          </w:tcPr>
          <w:p w14:paraId="6D108BC8" w14:textId="77777777" w:rsidR="007807BA" w:rsidRDefault="00F743B9">
            <w:pPr>
              <w:pStyle w:val="TableParagraph"/>
              <w:rPr>
                <w:b/>
                <w:sz w:val="24"/>
              </w:rPr>
            </w:pPr>
            <w:r>
              <w:rPr>
                <w:b/>
                <w:sz w:val="24"/>
              </w:rPr>
              <w:t>Review of Health Research by the HREB Policy</w:t>
            </w:r>
          </w:p>
        </w:tc>
        <w:tc>
          <w:tcPr>
            <w:tcW w:w="5221" w:type="dxa"/>
          </w:tcPr>
          <w:p w14:paraId="2ECF6115" w14:textId="77777777" w:rsidR="007807BA" w:rsidRDefault="00F743B9">
            <w:pPr>
              <w:pStyle w:val="TableParagraph"/>
              <w:rPr>
                <w:b/>
                <w:sz w:val="24"/>
              </w:rPr>
            </w:pPr>
            <w:r>
              <w:rPr>
                <w:b/>
                <w:sz w:val="24"/>
              </w:rPr>
              <w:t>HREA-REB03</w:t>
            </w:r>
          </w:p>
        </w:tc>
      </w:tr>
      <w:tr w:rsidR="007807BA" w14:paraId="7EBB3D55" w14:textId="77777777">
        <w:trPr>
          <w:trHeight w:val="453"/>
        </w:trPr>
        <w:tc>
          <w:tcPr>
            <w:tcW w:w="4856" w:type="dxa"/>
          </w:tcPr>
          <w:p w14:paraId="07C035B9" w14:textId="77777777" w:rsidR="007807BA" w:rsidRDefault="00F743B9">
            <w:pPr>
              <w:pStyle w:val="TableParagraph"/>
              <w:rPr>
                <w:sz w:val="24"/>
              </w:rPr>
            </w:pPr>
            <w:r>
              <w:rPr>
                <w:sz w:val="24"/>
              </w:rPr>
              <w:t>Issuing Authority</w:t>
            </w:r>
          </w:p>
        </w:tc>
        <w:tc>
          <w:tcPr>
            <w:tcW w:w="5221" w:type="dxa"/>
          </w:tcPr>
          <w:p w14:paraId="73D99F25" w14:textId="77777777" w:rsidR="007807BA" w:rsidRDefault="00F743B9">
            <w:pPr>
              <w:pStyle w:val="TableParagraph"/>
              <w:rPr>
                <w:sz w:val="24"/>
              </w:rPr>
            </w:pPr>
            <w:r>
              <w:rPr>
                <w:sz w:val="24"/>
              </w:rPr>
              <w:t>Health Research Ethics Authority</w:t>
            </w:r>
          </w:p>
        </w:tc>
      </w:tr>
      <w:tr w:rsidR="007807BA" w14:paraId="062AD9EF" w14:textId="77777777">
        <w:trPr>
          <w:trHeight w:val="743"/>
        </w:trPr>
        <w:tc>
          <w:tcPr>
            <w:tcW w:w="4856" w:type="dxa"/>
          </w:tcPr>
          <w:p w14:paraId="702CDF7C" w14:textId="77777777" w:rsidR="007807BA" w:rsidRDefault="00F743B9">
            <w:pPr>
              <w:pStyle w:val="TableParagraph"/>
              <w:spacing w:before="78"/>
              <w:ind w:right="1072"/>
              <w:rPr>
                <w:sz w:val="24"/>
              </w:rPr>
            </w:pPr>
            <w:r>
              <w:rPr>
                <w:sz w:val="24"/>
              </w:rPr>
              <w:t>Signature of Administrative Authority Chairperson, HREA</w:t>
            </w:r>
          </w:p>
        </w:tc>
        <w:tc>
          <w:tcPr>
            <w:tcW w:w="5221" w:type="dxa"/>
          </w:tcPr>
          <w:p w14:paraId="048690C3" w14:textId="77777777" w:rsidR="007807BA" w:rsidRDefault="007807BA">
            <w:pPr>
              <w:pStyle w:val="TableParagraph"/>
              <w:spacing w:before="7"/>
              <w:ind w:left="0"/>
              <w:rPr>
                <w:rFonts w:ascii="Times New Roman"/>
                <w:sz w:val="14"/>
              </w:rPr>
            </w:pPr>
          </w:p>
          <w:p w14:paraId="396C2DEE" w14:textId="18130528" w:rsidR="007807BA" w:rsidRDefault="00C94273">
            <w:pPr>
              <w:pStyle w:val="TableParagraph"/>
              <w:spacing w:before="0"/>
              <w:ind w:left="134"/>
              <w:rPr>
                <w:rFonts w:ascii="Times New Roman"/>
                <w:sz w:val="20"/>
              </w:rPr>
            </w:pPr>
            <w:r>
              <w:rPr>
                <w:noProof/>
              </w:rPr>
              <w:drawing>
                <wp:inline distT="0" distB="0" distL="0" distR="0" wp14:anchorId="2CB98A21" wp14:editId="64F4D49D">
                  <wp:extent cx="1123950" cy="3316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02376" cy="354799"/>
                          </a:xfrm>
                          <a:prstGeom prst="rect">
                            <a:avLst/>
                          </a:prstGeom>
                        </pic:spPr>
                      </pic:pic>
                    </a:graphicData>
                  </a:graphic>
                </wp:inline>
              </w:drawing>
            </w:r>
          </w:p>
        </w:tc>
      </w:tr>
      <w:tr w:rsidR="007807BA" w14:paraId="5FF49CFA" w14:textId="77777777">
        <w:trPr>
          <w:trHeight w:val="453"/>
        </w:trPr>
        <w:tc>
          <w:tcPr>
            <w:tcW w:w="4856" w:type="dxa"/>
          </w:tcPr>
          <w:p w14:paraId="34F74A77" w14:textId="77777777" w:rsidR="007807BA" w:rsidRDefault="00F743B9">
            <w:pPr>
              <w:pStyle w:val="TableParagraph"/>
              <w:spacing w:before="83"/>
              <w:rPr>
                <w:sz w:val="24"/>
              </w:rPr>
            </w:pPr>
            <w:r>
              <w:rPr>
                <w:sz w:val="24"/>
              </w:rPr>
              <w:t>Author</w:t>
            </w:r>
          </w:p>
        </w:tc>
        <w:tc>
          <w:tcPr>
            <w:tcW w:w="5221" w:type="dxa"/>
          </w:tcPr>
          <w:p w14:paraId="0DF08A41" w14:textId="64ADE30B" w:rsidR="007807BA" w:rsidRDefault="00745722">
            <w:pPr>
              <w:pStyle w:val="TableParagraph"/>
              <w:spacing w:before="83"/>
              <w:rPr>
                <w:sz w:val="24"/>
              </w:rPr>
            </w:pPr>
            <w:r>
              <w:rPr>
                <w:sz w:val="24"/>
              </w:rPr>
              <w:t>Barbara Mason</w:t>
            </w:r>
            <w:r w:rsidR="00F743B9">
              <w:rPr>
                <w:sz w:val="24"/>
              </w:rPr>
              <w:t>, Ethics Director</w:t>
            </w:r>
          </w:p>
        </w:tc>
      </w:tr>
      <w:tr w:rsidR="007807BA" w14:paraId="4C2C6DD0" w14:textId="77777777">
        <w:trPr>
          <w:trHeight w:val="453"/>
        </w:trPr>
        <w:tc>
          <w:tcPr>
            <w:tcW w:w="4856" w:type="dxa"/>
          </w:tcPr>
          <w:p w14:paraId="463719F5" w14:textId="77777777" w:rsidR="007807BA" w:rsidRDefault="00F743B9">
            <w:pPr>
              <w:pStyle w:val="TableParagraph"/>
              <w:spacing w:before="83"/>
              <w:rPr>
                <w:sz w:val="24"/>
              </w:rPr>
            </w:pPr>
            <w:r>
              <w:rPr>
                <w:sz w:val="24"/>
              </w:rPr>
              <w:t>Approval Date</w:t>
            </w:r>
          </w:p>
        </w:tc>
        <w:tc>
          <w:tcPr>
            <w:tcW w:w="5221" w:type="dxa"/>
          </w:tcPr>
          <w:p w14:paraId="4AEB9E80" w14:textId="0CEA369D" w:rsidR="007807BA" w:rsidRDefault="00D9450C">
            <w:pPr>
              <w:pStyle w:val="TableParagraph"/>
              <w:spacing w:before="83"/>
              <w:rPr>
                <w:sz w:val="24"/>
              </w:rPr>
            </w:pPr>
            <w:r>
              <w:rPr>
                <w:sz w:val="24"/>
              </w:rPr>
              <w:t>Ju</w:t>
            </w:r>
            <w:r w:rsidR="00C94273">
              <w:rPr>
                <w:sz w:val="24"/>
              </w:rPr>
              <w:t>ly</w:t>
            </w:r>
            <w:r>
              <w:rPr>
                <w:sz w:val="24"/>
              </w:rPr>
              <w:t xml:space="preserve"> 2025</w:t>
            </w:r>
          </w:p>
        </w:tc>
      </w:tr>
      <w:tr w:rsidR="007807BA" w14:paraId="77DE29E0" w14:textId="77777777">
        <w:trPr>
          <w:trHeight w:val="453"/>
        </w:trPr>
        <w:tc>
          <w:tcPr>
            <w:tcW w:w="4856" w:type="dxa"/>
          </w:tcPr>
          <w:p w14:paraId="5F7DB22E" w14:textId="77777777" w:rsidR="007807BA" w:rsidRDefault="00F743B9">
            <w:pPr>
              <w:pStyle w:val="TableParagraph"/>
              <w:rPr>
                <w:sz w:val="24"/>
              </w:rPr>
            </w:pPr>
            <w:r>
              <w:rPr>
                <w:sz w:val="24"/>
              </w:rPr>
              <w:t>Scheduled Review Date</w:t>
            </w:r>
          </w:p>
        </w:tc>
        <w:tc>
          <w:tcPr>
            <w:tcW w:w="5221" w:type="dxa"/>
          </w:tcPr>
          <w:p w14:paraId="742984F2" w14:textId="1306F4CE" w:rsidR="007807BA" w:rsidRDefault="00C94273">
            <w:pPr>
              <w:pStyle w:val="TableParagraph"/>
              <w:rPr>
                <w:sz w:val="24"/>
              </w:rPr>
            </w:pPr>
            <w:r>
              <w:rPr>
                <w:sz w:val="24"/>
              </w:rPr>
              <w:t>July 2028</w:t>
            </w:r>
          </w:p>
        </w:tc>
      </w:tr>
    </w:tbl>
    <w:p w14:paraId="20F98138" w14:textId="77777777" w:rsidR="007807BA" w:rsidRDefault="007807BA">
      <w:pPr>
        <w:pStyle w:val="BodyText"/>
        <w:rPr>
          <w:rFonts w:ascii="Times New Roman"/>
          <w:sz w:val="21"/>
        </w:rPr>
      </w:pPr>
    </w:p>
    <w:p w14:paraId="1EDF0B27" w14:textId="7924EAFF" w:rsidR="007807BA" w:rsidRDefault="00F743B9" w:rsidP="00C94273">
      <w:pPr>
        <w:pStyle w:val="BodyText"/>
        <w:spacing w:before="52"/>
        <w:ind w:right="179"/>
      </w:pPr>
      <w:r>
        <w:rPr>
          <w:b/>
        </w:rPr>
        <w:t xml:space="preserve">Background: </w:t>
      </w:r>
    </w:p>
    <w:p w14:paraId="4E8A3126" w14:textId="77777777" w:rsidR="001B0F44" w:rsidRDefault="001B0F44" w:rsidP="001B0F44">
      <w:pPr>
        <w:tabs>
          <w:tab w:val="left" w:pos="1400"/>
        </w:tabs>
        <w:ind w:right="-20"/>
        <w:rPr>
          <w:rFonts w:cstheme="minorHAnsi"/>
          <w:sz w:val="24"/>
          <w:szCs w:val="24"/>
        </w:rPr>
      </w:pPr>
      <w:r w:rsidRPr="003863A9">
        <w:rPr>
          <w:rFonts w:cstheme="minorHAnsi"/>
          <w:sz w:val="24"/>
          <w:szCs w:val="24"/>
        </w:rPr>
        <w:t>The Health Research Ethics Authority (HREA)</w:t>
      </w:r>
      <w:r>
        <w:rPr>
          <w:rFonts w:cstheme="minorHAnsi"/>
          <w:sz w:val="24"/>
          <w:szCs w:val="24"/>
        </w:rPr>
        <w:t xml:space="preserve"> has a </w:t>
      </w:r>
      <w:r w:rsidRPr="003863A9">
        <w:rPr>
          <w:rFonts w:cstheme="minorHAnsi"/>
          <w:sz w:val="24"/>
          <w:szCs w:val="24"/>
        </w:rPr>
        <w:t xml:space="preserve">mandate to </w:t>
      </w:r>
      <w:r>
        <w:rPr>
          <w:rFonts w:cstheme="minorHAnsi"/>
          <w:sz w:val="24"/>
          <w:szCs w:val="24"/>
        </w:rPr>
        <w:t>provide oversight of the ethics review process to ensure that</w:t>
      </w:r>
      <w:r w:rsidRPr="003863A9">
        <w:rPr>
          <w:rFonts w:cstheme="minorHAnsi"/>
          <w:sz w:val="24"/>
          <w:szCs w:val="24"/>
        </w:rPr>
        <w:t xml:space="preserve"> health research</w:t>
      </w:r>
      <w:r>
        <w:rPr>
          <w:rFonts w:cstheme="minorHAnsi"/>
          <w:sz w:val="24"/>
          <w:szCs w:val="24"/>
        </w:rPr>
        <w:t xml:space="preserve"> </w:t>
      </w:r>
      <w:r w:rsidRPr="003863A9">
        <w:rPr>
          <w:rFonts w:cstheme="minorHAnsi"/>
          <w:sz w:val="24"/>
          <w:szCs w:val="24"/>
        </w:rPr>
        <w:t>involving human participants within Newfoundland and Labrador is conducted in an ethical</w:t>
      </w:r>
      <w:r>
        <w:rPr>
          <w:rFonts w:cstheme="minorHAnsi"/>
          <w:sz w:val="24"/>
          <w:szCs w:val="24"/>
        </w:rPr>
        <w:t xml:space="preserve"> </w:t>
      </w:r>
      <w:r w:rsidRPr="003863A9">
        <w:rPr>
          <w:rFonts w:cstheme="minorHAnsi"/>
          <w:sz w:val="24"/>
          <w:szCs w:val="24"/>
        </w:rPr>
        <w:t>manner</w:t>
      </w:r>
      <w:r>
        <w:rPr>
          <w:rFonts w:cstheme="minorHAnsi"/>
          <w:sz w:val="24"/>
          <w:szCs w:val="24"/>
        </w:rPr>
        <w:t xml:space="preserve">. </w:t>
      </w:r>
    </w:p>
    <w:p w14:paraId="268C4B02" w14:textId="77777777" w:rsidR="001B0F44" w:rsidRDefault="001B0F44" w:rsidP="001B0F44">
      <w:pPr>
        <w:tabs>
          <w:tab w:val="left" w:pos="1400"/>
        </w:tabs>
        <w:ind w:right="-20"/>
        <w:rPr>
          <w:rFonts w:cstheme="minorHAnsi"/>
          <w:sz w:val="24"/>
          <w:szCs w:val="24"/>
        </w:rPr>
      </w:pPr>
    </w:p>
    <w:p w14:paraId="0098C58B" w14:textId="090E386C" w:rsidR="001B0F44" w:rsidRDefault="001B0F44" w:rsidP="001B0F44">
      <w:pPr>
        <w:pStyle w:val="BodyText"/>
        <w:spacing w:before="52"/>
        <w:ind w:left="120" w:right="179"/>
        <w:rPr>
          <w:rFonts w:cstheme="minorHAnsi"/>
        </w:rPr>
      </w:pPr>
      <w:bookmarkStart w:id="0" w:name="_Hlk201062002"/>
      <w:r>
        <w:rPr>
          <w:rFonts w:cstheme="minorHAnsi"/>
        </w:rPr>
        <w:t xml:space="preserve">Research activities in relation to human health, health care and health care systems conducted within Newfoundland and Labrador must comply with the </w:t>
      </w:r>
      <w:r>
        <w:rPr>
          <w:rFonts w:cstheme="minorHAnsi"/>
          <w:i/>
          <w:iCs/>
        </w:rPr>
        <w:t xml:space="preserve">Health Research Ethics Act </w:t>
      </w:r>
      <w:r>
        <w:rPr>
          <w:rFonts w:cstheme="minorHAnsi"/>
        </w:rPr>
        <w:t>(HRE Act)</w:t>
      </w:r>
      <w:r w:rsidRPr="001B0F44">
        <w:rPr>
          <w:vertAlign w:val="superscript"/>
        </w:rPr>
        <w:t xml:space="preserve"> </w:t>
      </w:r>
      <w:r>
        <w:rPr>
          <w:vertAlign w:val="superscript"/>
        </w:rPr>
        <w:t>1</w:t>
      </w:r>
      <w:r>
        <w:rPr>
          <w:rFonts w:cstheme="minorHAnsi"/>
        </w:rPr>
        <w:t>. All such research activities are subject to ethics review processes overseen by the HREA.</w:t>
      </w:r>
    </w:p>
    <w:bookmarkEnd w:id="0"/>
    <w:p w14:paraId="6E29D542" w14:textId="77777777" w:rsidR="001B0F44" w:rsidRDefault="001B0F44" w:rsidP="001B0F44">
      <w:pPr>
        <w:pStyle w:val="BodyText"/>
        <w:spacing w:before="52"/>
        <w:ind w:left="120" w:right="179"/>
        <w:rPr>
          <w:rFonts w:cstheme="minorHAnsi"/>
        </w:rPr>
      </w:pPr>
    </w:p>
    <w:p w14:paraId="486C710E" w14:textId="3DA343BC" w:rsidR="001B0F44" w:rsidRDefault="001B0F44" w:rsidP="001B0F44">
      <w:pPr>
        <w:pStyle w:val="BodyText"/>
        <w:spacing w:before="52"/>
        <w:ind w:left="120" w:right="179"/>
      </w:pPr>
      <w:r>
        <w:rPr>
          <w:rFonts w:cstheme="minorHAnsi"/>
        </w:rPr>
        <w:t>The HREB is the statutory research ethics review body affiliated with the Authority.</w:t>
      </w:r>
    </w:p>
    <w:p w14:paraId="6DBB876B" w14:textId="77777777" w:rsidR="007807BA" w:rsidRDefault="007807BA">
      <w:pPr>
        <w:pStyle w:val="BodyText"/>
        <w:spacing w:before="7"/>
        <w:rPr>
          <w:sz w:val="27"/>
        </w:rPr>
      </w:pPr>
    </w:p>
    <w:p w14:paraId="4E47132C" w14:textId="6A7D15C2" w:rsidR="007807BA" w:rsidRDefault="00F743B9">
      <w:pPr>
        <w:pStyle w:val="BodyText"/>
        <w:spacing w:before="1" w:line="278" w:lineRule="auto"/>
        <w:ind w:left="120" w:right="213"/>
      </w:pPr>
      <w:r>
        <w:rPr>
          <w:b/>
        </w:rPr>
        <w:t xml:space="preserve">Scope: </w:t>
      </w:r>
      <w:r w:rsidR="001B0F44">
        <w:t>This Policy applies to the HREB. It does not apply to another research ethics body.</w:t>
      </w:r>
    </w:p>
    <w:p w14:paraId="17B77034" w14:textId="77777777" w:rsidR="007807BA" w:rsidRDefault="007807BA">
      <w:pPr>
        <w:pStyle w:val="BodyText"/>
        <w:spacing w:before="3"/>
        <w:rPr>
          <w:sz w:val="19"/>
        </w:rPr>
      </w:pPr>
    </w:p>
    <w:p w14:paraId="73583FF9" w14:textId="77777777" w:rsidR="007807BA" w:rsidRDefault="00F743B9">
      <w:pPr>
        <w:ind w:left="120"/>
        <w:rPr>
          <w:sz w:val="24"/>
        </w:rPr>
      </w:pPr>
      <w:r>
        <w:rPr>
          <w:b/>
          <w:sz w:val="24"/>
        </w:rPr>
        <w:t xml:space="preserve">Purpose: </w:t>
      </w:r>
      <w:r>
        <w:rPr>
          <w:sz w:val="24"/>
        </w:rPr>
        <w:t>The purpose of this policy is to:</w:t>
      </w:r>
    </w:p>
    <w:p w14:paraId="1B9B1F6E" w14:textId="5BB8A0CC" w:rsidR="007807BA" w:rsidRDefault="00F743B9">
      <w:pPr>
        <w:pStyle w:val="ListParagraph"/>
        <w:numPr>
          <w:ilvl w:val="0"/>
          <w:numId w:val="2"/>
        </w:numPr>
        <w:tabs>
          <w:tab w:val="left" w:pos="841"/>
        </w:tabs>
        <w:spacing w:before="163" w:line="278" w:lineRule="auto"/>
        <w:ind w:right="557"/>
        <w:rPr>
          <w:sz w:val="24"/>
        </w:rPr>
      </w:pPr>
      <w:r>
        <w:rPr>
          <w:sz w:val="24"/>
        </w:rPr>
        <w:t>Articulate</w:t>
      </w:r>
      <w:r>
        <w:rPr>
          <w:spacing w:val="-4"/>
          <w:sz w:val="24"/>
        </w:rPr>
        <w:t xml:space="preserve"> </w:t>
      </w:r>
      <w:r>
        <w:rPr>
          <w:sz w:val="24"/>
        </w:rPr>
        <w:t>the</w:t>
      </w:r>
      <w:r>
        <w:rPr>
          <w:spacing w:val="-4"/>
          <w:sz w:val="24"/>
        </w:rPr>
        <w:t xml:space="preserve"> </w:t>
      </w:r>
      <w:r>
        <w:rPr>
          <w:sz w:val="24"/>
        </w:rPr>
        <w:t>principles</w:t>
      </w:r>
      <w:r>
        <w:rPr>
          <w:spacing w:val="-7"/>
          <w:sz w:val="24"/>
        </w:rPr>
        <w:t xml:space="preserve"> </w:t>
      </w:r>
      <w:r>
        <w:rPr>
          <w:sz w:val="24"/>
        </w:rPr>
        <w:t>of the</w:t>
      </w:r>
      <w:r>
        <w:rPr>
          <w:spacing w:val="-4"/>
          <w:sz w:val="24"/>
        </w:rPr>
        <w:t xml:space="preserve"> </w:t>
      </w:r>
      <w:r>
        <w:rPr>
          <w:sz w:val="24"/>
        </w:rPr>
        <w:t>Tri-Council</w:t>
      </w:r>
      <w:r>
        <w:rPr>
          <w:spacing w:val="-4"/>
          <w:sz w:val="24"/>
        </w:rPr>
        <w:t xml:space="preserve"> </w:t>
      </w:r>
      <w:r>
        <w:rPr>
          <w:sz w:val="24"/>
        </w:rPr>
        <w:t>Policy</w:t>
      </w:r>
      <w:r>
        <w:rPr>
          <w:spacing w:val="-4"/>
          <w:sz w:val="24"/>
        </w:rPr>
        <w:t xml:space="preserve"> </w:t>
      </w:r>
      <w:r>
        <w:rPr>
          <w:sz w:val="24"/>
        </w:rPr>
        <w:t>Statement</w:t>
      </w:r>
      <w:r w:rsidR="00B84334">
        <w:rPr>
          <w:sz w:val="24"/>
          <w:vertAlign w:val="superscript"/>
        </w:rPr>
        <w:t>2</w:t>
      </w:r>
      <w:r>
        <w:rPr>
          <w:sz w:val="24"/>
        </w:rPr>
        <w:t>,</w:t>
      </w:r>
      <w:r>
        <w:rPr>
          <w:spacing w:val="-2"/>
          <w:sz w:val="24"/>
        </w:rPr>
        <w:t xml:space="preserve"> </w:t>
      </w:r>
      <w:r>
        <w:rPr>
          <w:sz w:val="24"/>
        </w:rPr>
        <w:t>as</w:t>
      </w:r>
      <w:r>
        <w:rPr>
          <w:spacing w:val="-4"/>
          <w:sz w:val="24"/>
        </w:rPr>
        <w:t xml:space="preserve"> </w:t>
      </w:r>
      <w:r>
        <w:rPr>
          <w:sz w:val="24"/>
        </w:rPr>
        <w:t>well</w:t>
      </w:r>
      <w:r>
        <w:rPr>
          <w:spacing w:val="3"/>
          <w:sz w:val="24"/>
        </w:rPr>
        <w:t xml:space="preserve"> </w:t>
      </w:r>
      <w:r>
        <w:rPr>
          <w:sz w:val="24"/>
        </w:rPr>
        <w:t>as</w:t>
      </w:r>
      <w:r>
        <w:rPr>
          <w:spacing w:val="-4"/>
          <w:sz w:val="24"/>
        </w:rPr>
        <w:t xml:space="preserve"> </w:t>
      </w:r>
      <w:r>
        <w:rPr>
          <w:sz w:val="24"/>
        </w:rPr>
        <w:t>the</w:t>
      </w:r>
      <w:r>
        <w:rPr>
          <w:spacing w:val="-4"/>
          <w:sz w:val="24"/>
        </w:rPr>
        <w:t xml:space="preserve"> </w:t>
      </w:r>
      <w:r>
        <w:rPr>
          <w:sz w:val="24"/>
        </w:rPr>
        <w:t>HRE</w:t>
      </w:r>
      <w:r>
        <w:rPr>
          <w:spacing w:val="-2"/>
          <w:sz w:val="24"/>
        </w:rPr>
        <w:t xml:space="preserve"> </w:t>
      </w:r>
      <w:r>
        <w:rPr>
          <w:sz w:val="24"/>
        </w:rPr>
        <w:t>Act,</w:t>
      </w:r>
      <w:r>
        <w:rPr>
          <w:spacing w:val="-1"/>
          <w:sz w:val="24"/>
        </w:rPr>
        <w:t xml:space="preserve"> </w:t>
      </w:r>
      <w:r>
        <w:rPr>
          <w:sz w:val="24"/>
        </w:rPr>
        <w:t>as</w:t>
      </w:r>
      <w:r>
        <w:rPr>
          <w:spacing w:val="-4"/>
          <w:sz w:val="24"/>
        </w:rPr>
        <w:t xml:space="preserve"> </w:t>
      </w:r>
      <w:r>
        <w:rPr>
          <w:sz w:val="24"/>
        </w:rPr>
        <w:t>they relate to the research ethics review and approval of health research;</w:t>
      </w:r>
      <w:r>
        <w:rPr>
          <w:spacing w:val="39"/>
          <w:sz w:val="24"/>
        </w:rPr>
        <w:t xml:space="preserve"> </w:t>
      </w:r>
      <w:r>
        <w:rPr>
          <w:sz w:val="24"/>
        </w:rPr>
        <w:t>and</w:t>
      </w:r>
    </w:p>
    <w:p w14:paraId="29118F10" w14:textId="7D0426BE" w:rsidR="007807BA" w:rsidRDefault="00F743B9">
      <w:pPr>
        <w:pStyle w:val="ListParagraph"/>
        <w:numPr>
          <w:ilvl w:val="0"/>
          <w:numId w:val="2"/>
        </w:numPr>
        <w:tabs>
          <w:tab w:val="left" w:pos="841"/>
        </w:tabs>
        <w:spacing w:line="288" w:lineRule="exact"/>
        <w:ind w:hanging="362"/>
        <w:rPr>
          <w:sz w:val="24"/>
        </w:rPr>
      </w:pPr>
      <w:r>
        <w:rPr>
          <w:sz w:val="24"/>
        </w:rPr>
        <w:t>Establish a research ethics review</w:t>
      </w:r>
      <w:r>
        <w:rPr>
          <w:spacing w:val="-3"/>
          <w:sz w:val="24"/>
        </w:rPr>
        <w:t xml:space="preserve"> </w:t>
      </w:r>
      <w:r>
        <w:rPr>
          <w:sz w:val="24"/>
        </w:rPr>
        <w:t>process.</w:t>
      </w:r>
      <w:r w:rsidR="00C32A2B">
        <w:rPr>
          <w:sz w:val="24"/>
        </w:rPr>
        <w:t xml:space="preserve"> </w:t>
      </w:r>
      <w:r w:rsidR="00C32A2B">
        <w:rPr>
          <w:rFonts w:cstheme="minorHAnsi"/>
          <w:bCs/>
          <w:sz w:val="24"/>
          <w:szCs w:val="24"/>
        </w:rPr>
        <w:t>It also establishes the criteria by which the HREB may conduct a summary review, or grant approval, where approval has been issued by a Qualifying REB.</w:t>
      </w:r>
    </w:p>
    <w:p w14:paraId="1360FBC8" w14:textId="77777777" w:rsidR="00C32A2B" w:rsidRDefault="00C32A2B" w:rsidP="00C97CB9">
      <w:pPr>
        <w:pStyle w:val="ListParagraph"/>
        <w:tabs>
          <w:tab w:val="left" w:pos="841"/>
        </w:tabs>
        <w:spacing w:line="288" w:lineRule="exact"/>
        <w:ind w:left="840" w:firstLine="0"/>
        <w:rPr>
          <w:sz w:val="24"/>
        </w:rPr>
      </w:pPr>
    </w:p>
    <w:p w14:paraId="21AA12F6" w14:textId="77777777" w:rsidR="007807BA" w:rsidRDefault="007807BA">
      <w:pPr>
        <w:pStyle w:val="BodyText"/>
        <w:spacing w:before="4"/>
        <w:rPr>
          <w:sz w:val="23"/>
        </w:rPr>
      </w:pPr>
    </w:p>
    <w:p w14:paraId="431BA53F" w14:textId="33030452" w:rsidR="007807BA" w:rsidRPr="00FF779D" w:rsidRDefault="00F743B9" w:rsidP="00FF779D">
      <w:pPr>
        <w:pStyle w:val="Heading1"/>
        <w:rPr>
          <w:b w:val="0"/>
        </w:rPr>
      </w:pPr>
      <w:r>
        <w:t>Policy Statements</w:t>
      </w:r>
      <w:r>
        <w:rPr>
          <w:b w:val="0"/>
        </w:rPr>
        <w:t>:</w:t>
      </w:r>
    </w:p>
    <w:p w14:paraId="169F2B18" w14:textId="6E73BAE6" w:rsidR="007807BA" w:rsidRPr="00E6042E" w:rsidRDefault="007807BA" w:rsidP="00E6042E">
      <w:pPr>
        <w:tabs>
          <w:tab w:val="left" w:pos="481"/>
        </w:tabs>
        <w:spacing w:line="276" w:lineRule="auto"/>
        <w:ind w:right="175"/>
        <w:rPr>
          <w:sz w:val="24"/>
        </w:rPr>
      </w:pPr>
    </w:p>
    <w:p w14:paraId="3AD30B77" w14:textId="07EFA6B4" w:rsidR="001B0F44" w:rsidRDefault="001B0F44">
      <w:pPr>
        <w:pStyle w:val="ListParagraph"/>
        <w:numPr>
          <w:ilvl w:val="0"/>
          <w:numId w:val="1"/>
        </w:numPr>
        <w:tabs>
          <w:tab w:val="left" w:pos="481"/>
        </w:tabs>
        <w:spacing w:line="276" w:lineRule="auto"/>
        <w:ind w:right="175"/>
        <w:rPr>
          <w:sz w:val="24"/>
        </w:rPr>
      </w:pPr>
      <w:r>
        <w:rPr>
          <w:sz w:val="24"/>
        </w:rPr>
        <w:t xml:space="preserve">The Authority receives applications from </w:t>
      </w:r>
      <w:r w:rsidR="00BD6BE1">
        <w:rPr>
          <w:sz w:val="24"/>
        </w:rPr>
        <w:t>Principal Investigators</w:t>
      </w:r>
      <w:r>
        <w:rPr>
          <w:sz w:val="24"/>
        </w:rPr>
        <w:t xml:space="preserve"> who wish to carry out health research. The Authority may refer an application for research ethics review to the HREB. </w:t>
      </w:r>
    </w:p>
    <w:p w14:paraId="1595795B" w14:textId="77777777" w:rsidR="00FF779D" w:rsidRDefault="00FF779D" w:rsidP="00FF779D">
      <w:pPr>
        <w:pStyle w:val="ListParagraph"/>
        <w:tabs>
          <w:tab w:val="left" w:pos="481"/>
        </w:tabs>
        <w:spacing w:line="276" w:lineRule="auto"/>
        <w:ind w:right="175" w:firstLine="0"/>
        <w:rPr>
          <w:sz w:val="24"/>
        </w:rPr>
      </w:pPr>
    </w:p>
    <w:p w14:paraId="62DEA1DD" w14:textId="37D6123E" w:rsidR="001B0F44" w:rsidRDefault="001B0F44">
      <w:pPr>
        <w:pStyle w:val="ListParagraph"/>
        <w:numPr>
          <w:ilvl w:val="0"/>
          <w:numId w:val="1"/>
        </w:numPr>
        <w:tabs>
          <w:tab w:val="left" w:pos="481"/>
        </w:tabs>
        <w:spacing w:line="276" w:lineRule="auto"/>
        <w:ind w:right="175"/>
        <w:rPr>
          <w:sz w:val="24"/>
        </w:rPr>
      </w:pPr>
      <w:r>
        <w:rPr>
          <w:sz w:val="24"/>
        </w:rPr>
        <w:t>Upon being referred an application for research ethics review, the HREB will review the research to ensure it will be conducted in accordance with the Tri- Council Policy Statement and, as applicable, by the International Conference on Harmonization of Technical Requirements for the Registration of Pharmaceuticals for Human Use Guidance E6: Good Clinical Practice: Consolidated</w:t>
      </w:r>
      <w:r>
        <w:rPr>
          <w:spacing w:val="1"/>
          <w:sz w:val="24"/>
        </w:rPr>
        <w:t xml:space="preserve"> </w:t>
      </w:r>
      <w:r>
        <w:rPr>
          <w:sz w:val="24"/>
        </w:rPr>
        <w:t>Guideline.</w:t>
      </w:r>
    </w:p>
    <w:p w14:paraId="71EDC401" w14:textId="77777777" w:rsidR="00FF779D" w:rsidRPr="00FF779D" w:rsidRDefault="00FF779D" w:rsidP="00FF779D">
      <w:pPr>
        <w:tabs>
          <w:tab w:val="left" w:pos="481"/>
        </w:tabs>
        <w:spacing w:line="276" w:lineRule="auto"/>
        <w:ind w:right="175"/>
        <w:rPr>
          <w:sz w:val="24"/>
        </w:rPr>
      </w:pPr>
    </w:p>
    <w:p w14:paraId="7F1F5DAA" w14:textId="50E1978E" w:rsidR="001B0F44" w:rsidRDefault="001B0F44">
      <w:pPr>
        <w:pStyle w:val="ListParagraph"/>
        <w:numPr>
          <w:ilvl w:val="0"/>
          <w:numId w:val="1"/>
        </w:numPr>
        <w:tabs>
          <w:tab w:val="left" w:pos="481"/>
        </w:tabs>
        <w:spacing w:line="276" w:lineRule="auto"/>
        <w:ind w:right="175"/>
        <w:rPr>
          <w:sz w:val="24"/>
        </w:rPr>
      </w:pPr>
      <w:r>
        <w:rPr>
          <w:sz w:val="24"/>
        </w:rPr>
        <w:t>The HREB will carry out its research ethics review in accordance with applicable guidance, including but not limited to legislation, regulation, policy, SOPs</w:t>
      </w:r>
      <w:r w:rsidR="007F38D1">
        <w:rPr>
          <w:sz w:val="24"/>
        </w:rPr>
        <w:t xml:space="preserve">, and relevant organizational/institutional </w:t>
      </w:r>
      <w:r w:rsidR="007F38D1">
        <w:rPr>
          <w:sz w:val="24"/>
        </w:rPr>
        <w:lastRenderedPageBreak/>
        <w:t xml:space="preserve">criteria. </w:t>
      </w:r>
    </w:p>
    <w:p w14:paraId="48B2ECFF" w14:textId="77777777" w:rsidR="00FF779D" w:rsidRDefault="00FF779D" w:rsidP="00FF779D">
      <w:pPr>
        <w:pStyle w:val="ListParagraph"/>
        <w:tabs>
          <w:tab w:val="left" w:pos="481"/>
        </w:tabs>
        <w:spacing w:line="276" w:lineRule="auto"/>
        <w:ind w:right="175" w:firstLine="0"/>
        <w:rPr>
          <w:sz w:val="24"/>
        </w:rPr>
      </w:pPr>
    </w:p>
    <w:p w14:paraId="11DC5023" w14:textId="5E0CAD66" w:rsidR="007F38D1" w:rsidRDefault="007F38D1">
      <w:pPr>
        <w:pStyle w:val="ListParagraph"/>
        <w:numPr>
          <w:ilvl w:val="0"/>
          <w:numId w:val="1"/>
        </w:numPr>
        <w:tabs>
          <w:tab w:val="left" w:pos="481"/>
        </w:tabs>
        <w:spacing w:line="276" w:lineRule="auto"/>
        <w:ind w:right="175"/>
        <w:rPr>
          <w:sz w:val="24"/>
        </w:rPr>
      </w:pPr>
      <w:r>
        <w:rPr>
          <w:sz w:val="24"/>
        </w:rPr>
        <w:t xml:space="preserve">The HREB may, in accordance with criteria established by the </w:t>
      </w:r>
      <w:r w:rsidR="000B653F">
        <w:rPr>
          <w:sz w:val="24"/>
        </w:rPr>
        <w:t>HREA</w:t>
      </w:r>
      <w:r>
        <w:rPr>
          <w:sz w:val="24"/>
        </w:rPr>
        <w:t>, approve or conduct a summary review of an application where the proposed health research project has been approved by a not-for-profit research ethics body in another jurisdiction.</w:t>
      </w:r>
    </w:p>
    <w:p w14:paraId="7344FCF3" w14:textId="77777777" w:rsidR="007807BA" w:rsidRDefault="007807BA">
      <w:pPr>
        <w:pStyle w:val="BodyText"/>
        <w:spacing w:before="5"/>
        <w:rPr>
          <w:sz w:val="19"/>
        </w:rPr>
      </w:pPr>
    </w:p>
    <w:p w14:paraId="4413294B" w14:textId="77777777" w:rsidR="007807BA" w:rsidRDefault="007807BA">
      <w:pPr>
        <w:pStyle w:val="BodyText"/>
        <w:spacing w:before="5"/>
        <w:rPr>
          <w:sz w:val="18"/>
        </w:rPr>
      </w:pPr>
    </w:p>
    <w:p w14:paraId="48D6AB53" w14:textId="7D9D869E" w:rsidR="007807BA" w:rsidRPr="00C97CB9" w:rsidRDefault="00F743B9">
      <w:pPr>
        <w:pStyle w:val="ListParagraph"/>
        <w:numPr>
          <w:ilvl w:val="0"/>
          <w:numId w:val="1"/>
        </w:numPr>
        <w:tabs>
          <w:tab w:val="left" w:pos="481"/>
        </w:tabs>
        <w:spacing w:before="72"/>
        <w:ind w:right="385" w:hanging="361"/>
        <w:jc w:val="both"/>
        <w:rPr>
          <w:i/>
          <w:sz w:val="24"/>
        </w:rPr>
      </w:pPr>
      <w:r>
        <w:rPr>
          <w:sz w:val="24"/>
        </w:rPr>
        <w:t xml:space="preserve">The HREB will provide the </w:t>
      </w:r>
      <w:r w:rsidR="00BD6BE1">
        <w:rPr>
          <w:sz w:val="24"/>
        </w:rPr>
        <w:t>Principal Investigator</w:t>
      </w:r>
      <w:r>
        <w:rPr>
          <w:sz w:val="24"/>
        </w:rPr>
        <w:t xml:space="preserve"> with one of the following review decisions within 30 days of submission of a complete application: approve, approve pending changes, or refuse to approve</w:t>
      </w:r>
      <w:r>
        <w:rPr>
          <w:i/>
          <w:sz w:val="24"/>
        </w:rPr>
        <w:t>.</w:t>
      </w:r>
    </w:p>
    <w:p w14:paraId="7964A201" w14:textId="77777777" w:rsidR="00717388" w:rsidRDefault="00717388" w:rsidP="00D9450C">
      <w:pPr>
        <w:pStyle w:val="ListParagraph"/>
        <w:tabs>
          <w:tab w:val="left" w:pos="481"/>
        </w:tabs>
        <w:spacing w:before="72"/>
        <w:ind w:right="385" w:firstLine="0"/>
        <w:jc w:val="both"/>
        <w:rPr>
          <w:i/>
          <w:sz w:val="24"/>
        </w:rPr>
      </w:pPr>
    </w:p>
    <w:p w14:paraId="6E775C1A" w14:textId="6C25FEB9" w:rsidR="007807BA" w:rsidRPr="00D9450C" w:rsidRDefault="00F743B9">
      <w:pPr>
        <w:pStyle w:val="ListParagraph"/>
        <w:numPr>
          <w:ilvl w:val="0"/>
          <w:numId w:val="1"/>
        </w:numPr>
        <w:tabs>
          <w:tab w:val="left" w:pos="481"/>
        </w:tabs>
        <w:spacing w:before="211"/>
        <w:ind w:hanging="362"/>
        <w:rPr>
          <w:sz w:val="24"/>
        </w:rPr>
      </w:pPr>
      <w:r w:rsidRPr="00D9450C">
        <w:rPr>
          <w:sz w:val="24"/>
        </w:rPr>
        <w:t xml:space="preserve">A </w:t>
      </w:r>
      <w:r w:rsidR="00BD6BE1" w:rsidRPr="00D9450C">
        <w:rPr>
          <w:sz w:val="24"/>
        </w:rPr>
        <w:t>Principal Investigator</w:t>
      </w:r>
      <w:r w:rsidRPr="00D9450C">
        <w:rPr>
          <w:sz w:val="24"/>
        </w:rPr>
        <w:t xml:space="preserve"> may request a reconsideration of </w:t>
      </w:r>
      <w:r w:rsidR="00BD6BE1" w:rsidRPr="00D9450C">
        <w:rPr>
          <w:sz w:val="24"/>
        </w:rPr>
        <w:t xml:space="preserve">a </w:t>
      </w:r>
      <w:r w:rsidRPr="00D9450C">
        <w:rPr>
          <w:sz w:val="24"/>
        </w:rPr>
        <w:t>decision of the</w:t>
      </w:r>
      <w:r w:rsidRPr="00D9450C">
        <w:rPr>
          <w:spacing w:val="-15"/>
          <w:sz w:val="24"/>
        </w:rPr>
        <w:t xml:space="preserve"> </w:t>
      </w:r>
      <w:r w:rsidRPr="00D9450C">
        <w:rPr>
          <w:sz w:val="24"/>
        </w:rPr>
        <w:t>HREB.</w:t>
      </w:r>
      <w:r w:rsidR="007F38D1" w:rsidRPr="00D9450C">
        <w:rPr>
          <w:sz w:val="24"/>
        </w:rPr>
        <w:t xml:space="preserve"> A reconsideration may be appealed by the </w:t>
      </w:r>
      <w:r w:rsidR="00BD6BE1" w:rsidRPr="00D9450C">
        <w:rPr>
          <w:sz w:val="24"/>
        </w:rPr>
        <w:t>Principal Investigator</w:t>
      </w:r>
      <w:r w:rsidR="007F38D1" w:rsidRPr="00D9450C">
        <w:rPr>
          <w:sz w:val="24"/>
        </w:rPr>
        <w:t xml:space="preserve">. </w:t>
      </w:r>
      <w:r w:rsidR="00BD6BE1" w:rsidRPr="00D9450C">
        <w:rPr>
          <w:i/>
          <w:iCs/>
          <w:sz w:val="24"/>
        </w:rPr>
        <w:t>See</w:t>
      </w:r>
      <w:r w:rsidR="00BD6BE1" w:rsidRPr="00D9450C">
        <w:rPr>
          <w:sz w:val="24"/>
        </w:rPr>
        <w:t xml:space="preserve"> Policy AP-01 and related SOPs.</w:t>
      </w:r>
    </w:p>
    <w:p w14:paraId="74154030" w14:textId="77777777" w:rsidR="007807BA" w:rsidRDefault="007807BA">
      <w:pPr>
        <w:pStyle w:val="BodyText"/>
        <w:spacing w:before="3"/>
        <w:rPr>
          <w:sz w:val="29"/>
        </w:rPr>
      </w:pPr>
    </w:p>
    <w:p w14:paraId="608F9C8E" w14:textId="47632E05" w:rsidR="00BD6BE1" w:rsidRDefault="00BD6BE1">
      <w:pPr>
        <w:pStyle w:val="ListParagraph"/>
        <w:numPr>
          <w:ilvl w:val="0"/>
          <w:numId w:val="1"/>
        </w:numPr>
        <w:tabs>
          <w:tab w:val="left" w:pos="481"/>
        </w:tabs>
        <w:spacing w:line="276" w:lineRule="auto"/>
        <w:ind w:right="155"/>
        <w:rPr>
          <w:sz w:val="24"/>
        </w:rPr>
      </w:pPr>
      <w:r w:rsidRPr="003E6A62">
        <w:rPr>
          <w:sz w:val="24"/>
        </w:rPr>
        <w:t xml:space="preserve">A Principal Investigator must request written approval </w:t>
      </w:r>
      <w:r>
        <w:rPr>
          <w:sz w:val="24"/>
        </w:rPr>
        <w:t>for</w:t>
      </w:r>
      <w:r w:rsidRPr="003E6A62">
        <w:rPr>
          <w:sz w:val="24"/>
        </w:rPr>
        <w:t xml:space="preserve"> </w:t>
      </w:r>
      <w:r>
        <w:rPr>
          <w:sz w:val="24"/>
        </w:rPr>
        <w:t>a</w:t>
      </w:r>
      <w:r w:rsidRPr="003E6A62">
        <w:rPr>
          <w:sz w:val="24"/>
        </w:rPr>
        <w:t xml:space="preserve"> substantive change to a health research project </w:t>
      </w:r>
      <w:r>
        <w:rPr>
          <w:sz w:val="24"/>
        </w:rPr>
        <w:t xml:space="preserve">by seeking an amendment through the </w:t>
      </w:r>
      <w:r w:rsidRPr="003E6A62">
        <w:rPr>
          <w:sz w:val="24"/>
        </w:rPr>
        <w:t>application or notification process (HRE Act, s12)</w:t>
      </w:r>
      <w:r>
        <w:rPr>
          <w:sz w:val="24"/>
        </w:rPr>
        <w:t>.</w:t>
      </w:r>
    </w:p>
    <w:p w14:paraId="7B4E990A" w14:textId="77777777" w:rsidR="000B653F" w:rsidRDefault="000B653F" w:rsidP="000B653F">
      <w:pPr>
        <w:pStyle w:val="ListParagraph"/>
        <w:numPr>
          <w:ilvl w:val="0"/>
          <w:numId w:val="1"/>
        </w:numPr>
        <w:tabs>
          <w:tab w:val="left" w:pos="481"/>
        </w:tabs>
        <w:spacing w:before="212" w:line="276" w:lineRule="auto"/>
        <w:ind w:right="112"/>
        <w:rPr>
          <w:rFonts w:cstheme="minorHAnsi"/>
          <w:sz w:val="24"/>
          <w:szCs w:val="24"/>
        </w:rPr>
      </w:pPr>
      <w:r w:rsidRPr="007C2E3A">
        <w:rPr>
          <w:rFonts w:cstheme="minorHAnsi"/>
          <w:sz w:val="24"/>
          <w:szCs w:val="24"/>
        </w:rPr>
        <w:t xml:space="preserve">The HREA may establish criteria permitting </w:t>
      </w:r>
      <w:r>
        <w:rPr>
          <w:rFonts w:cstheme="minorHAnsi"/>
          <w:sz w:val="24"/>
          <w:szCs w:val="24"/>
        </w:rPr>
        <w:t xml:space="preserve">the HREB to conduct a </w:t>
      </w:r>
      <w:r w:rsidRPr="007C2E3A">
        <w:rPr>
          <w:rFonts w:cstheme="minorHAnsi"/>
          <w:sz w:val="24"/>
          <w:szCs w:val="24"/>
        </w:rPr>
        <w:t xml:space="preserve">summary review </w:t>
      </w:r>
      <w:r>
        <w:rPr>
          <w:rFonts w:cstheme="minorHAnsi"/>
          <w:sz w:val="24"/>
          <w:szCs w:val="24"/>
        </w:rPr>
        <w:t xml:space="preserve">of proposed health research in this Province </w:t>
      </w:r>
      <w:r w:rsidRPr="007C2E3A">
        <w:rPr>
          <w:rFonts w:cstheme="minorHAnsi"/>
          <w:sz w:val="24"/>
          <w:szCs w:val="24"/>
        </w:rPr>
        <w:t>where</w:t>
      </w:r>
      <w:r>
        <w:rPr>
          <w:rFonts w:cstheme="minorHAnsi"/>
          <w:sz w:val="24"/>
          <w:szCs w:val="24"/>
        </w:rPr>
        <w:t xml:space="preserve"> the Principal Investigator demonstrates that</w:t>
      </w:r>
      <w:r w:rsidRPr="007C2E3A">
        <w:rPr>
          <w:rFonts w:cstheme="minorHAnsi"/>
          <w:sz w:val="24"/>
          <w:szCs w:val="24"/>
        </w:rPr>
        <w:t xml:space="preserve"> a not-for-profit research ethics body in another jurisdiction (“</w:t>
      </w:r>
      <w:r>
        <w:rPr>
          <w:rFonts w:cstheme="minorHAnsi"/>
          <w:sz w:val="24"/>
          <w:szCs w:val="24"/>
        </w:rPr>
        <w:t>Qualifying</w:t>
      </w:r>
      <w:r w:rsidRPr="007C2E3A">
        <w:rPr>
          <w:rFonts w:cstheme="minorHAnsi"/>
          <w:sz w:val="24"/>
          <w:szCs w:val="24"/>
        </w:rPr>
        <w:t xml:space="preserve"> REB”)</w:t>
      </w:r>
      <w:r>
        <w:rPr>
          <w:rFonts w:cstheme="minorHAnsi"/>
          <w:sz w:val="24"/>
          <w:szCs w:val="24"/>
        </w:rPr>
        <w:t xml:space="preserve"> </w:t>
      </w:r>
      <w:r w:rsidRPr="007C2E3A">
        <w:rPr>
          <w:rFonts w:cstheme="minorHAnsi"/>
          <w:sz w:val="24"/>
          <w:szCs w:val="24"/>
        </w:rPr>
        <w:t>has approved the health research</w:t>
      </w:r>
      <w:r>
        <w:rPr>
          <w:rFonts w:cstheme="minorHAnsi"/>
          <w:sz w:val="24"/>
          <w:szCs w:val="24"/>
        </w:rPr>
        <w:t xml:space="preserve"> (HRE Act, section 10(8)).</w:t>
      </w:r>
    </w:p>
    <w:p w14:paraId="11520D7F" w14:textId="77777777" w:rsidR="000B653F" w:rsidRDefault="000B653F" w:rsidP="000B653F">
      <w:pPr>
        <w:tabs>
          <w:tab w:val="left" w:pos="1400"/>
        </w:tabs>
        <w:ind w:right="-20"/>
        <w:rPr>
          <w:rFonts w:cstheme="minorHAnsi"/>
          <w:sz w:val="24"/>
          <w:szCs w:val="24"/>
        </w:rPr>
      </w:pPr>
    </w:p>
    <w:p w14:paraId="13DC742A" w14:textId="77777777" w:rsidR="000B653F" w:rsidRDefault="000B653F" w:rsidP="000B653F">
      <w:pPr>
        <w:pStyle w:val="ListParagraph"/>
        <w:numPr>
          <w:ilvl w:val="0"/>
          <w:numId w:val="1"/>
        </w:numPr>
        <w:tabs>
          <w:tab w:val="left" w:pos="481"/>
        </w:tabs>
        <w:spacing w:before="212" w:line="276" w:lineRule="auto"/>
        <w:ind w:right="112"/>
        <w:rPr>
          <w:rFonts w:cstheme="minorHAnsi"/>
          <w:sz w:val="24"/>
          <w:szCs w:val="24"/>
        </w:rPr>
      </w:pPr>
      <w:r>
        <w:rPr>
          <w:rFonts w:cstheme="minorHAnsi"/>
          <w:sz w:val="24"/>
          <w:szCs w:val="24"/>
        </w:rPr>
        <w:t>A Qualifying REB must satisfy the following criteria:</w:t>
      </w:r>
    </w:p>
    <w:p w14:paraId="0B613D7D" w14:textId="77777777" w:rsidR="000B653F" w:rsidRDefault="000B653F" w:rsidP="000B653F">
      <w:pPr>
        <w:pStyle w:val="ListParagraph"/>
        <w:widowControl/>
        <w:numPr>
          <w:ilvl w:val="0"/>
          <w:numId w:val="8"/>
        </w:numPr>
        <w:tabs>
          <w:tab w:val="left" w:pos="1400"/>
        </w:tabs>
        <w:autoSpaceDE/>
        <w:autoSpaceDN/>
        <w:ind w:right="-20"/>
        <w:contextualSpacing/>
        <w:rPr>
          <w:rFonts w:cstheme="minorHAnsi"/>
          <w:sz w:val="24"/>
          <w:szCs w:val="24"/>
        </w:rPr>
      </w:pPr>
      <w:r>
        <w:rPr>
          <w:rFonts w:cstheme="minorHAnsi"/>
          <w:sz w:val="24"/>
          <w:szCs w:val="24"/>
        </w:rPr>
        <w:t>Is constituted in a Canadian jurisdiction;</w:t>
      </w:r>
    </w:p>
    <w:p w14:paraId="2C8089CD" w14:textId="77777777" w:rsidR="000B653F" w:rsidRDefault="000B653F" w:rsidP="000B653F">
      <w:pPr>
        <w:pStyle w:val="ListParagraph"/>
        <w:widowControl/>
        <w:numPr>
          <w:ilvl w:val="0"/>
          <w:numId w:val="8"/>
        </w:numPr>
        <w:tabs>
          <w:tab w:val="left" w:pos="1400"/>
        </w:tabs>
        <w:autoSpaceDE/>
        <w:autoSpaceDN/>
        <w:ind w:right="-20"/>
        <w:contextualSpacing/>
        <w:rPr>
          <w:rFonts w:cstheme="minorHAnsi"/>
          <w:sz w:val="24"/>
          <w:szCs w:val="24"/>
        </w:rPr>
      </w:pPr>
      <w:r>
        <w:rPr>
          <w:rFonts w:cstheme="minorHAnsi"/>
          <w:sz w:val="24"/>
          <w:szCs w:val="24"/>
        </w:rPr>
        <w:t>Adheres to the principles of TCPS2 or its equivalent.</w:t>
      </w:r>
    </w:p>
    <w:p w14:paraId="5A334973" w14:textId="77777777" w:rsidR="000B653F" w:rsidRDefault="000B653F" w:rsidP="000B653F">
      <w:pPr>
        <w:pStyle w:val="ListParagraph"/>
        <w:widowControl/>
        <w:numPr>
          <w:ilvl w:val="0"/>
          <w:numId w:val="8"/>
        </w:numPr>
        <w:tabs>
          <w:tab w:val="left" w:pos="1400"/>
        </w:tabs>
        <w:autoSpaceDE/>
        <w:autoSpaceDN/>
        <w:ind w:right="-20"/>
        <w:contextualSpacing/>
        <w:rPr>
          <w:rFonts w:cstheme="minorHAnsi"/>
          <w:sz w:val="24"/>
          <w:szCs w:val="24"/>
        </w:rPr>
      </w:pPr>
      <w:r w:rsidRPr="00C32A2B">
        <w:rPr>
          <w:rFonts w:cstheme="minorHAnsi"/>
          <w:sz w:val="24"/>
          <w:szCs w:val="24"/>
        </w:rPr>
        <w:t>Is a not-for-profit entity.</w:t>
      </w:r>
    </w:p>
    <w:p w14:paraId="7C95A1A8" w14:textId="77777777" w:rsidR="000B653F" w:rsidRPr="00C32A2B" w:rsidRDefault="000B653F" w:rsidP="000B653F">
      <w:pPr>
        <w:pStyle w:val="ListParagraph"/>
        <w:widowControl/>
        <w:tabs>
          <w:tab w:val="left" w:pos="1400"/>
        </w:tabs>
        <w:autoSpaceDE/>
        <w:autoSpaceDN/>
        <w:ind w:left="720" w:right="-20" w:firstLine="0"/>
        <w:contextualSpacing/>
        <w:rPr>
          <w:rFonts w:cstheme="minorHAnsi"/>
          <w:sz w:val="24"/>
          <w:szCs w:val="24"/>
        </w:rPr>
      </w:pPr>
    </w:p>
    <w:p w14:paraId="1367A4EB" w14:textId="77777777" w:rsidR="000B653F" w:rsidRPr="00D53FF2" w:rsidRDefault="000B653F" w:rsidP="000B653F">
      <w:pPr>
        <w:pStyle w:val="ListParagraph"/>
        <w:numPr>
          <w:ilvl w:val="0"/>
          <w:numId w:val="1"/>
        </w:numPr>
        <w:tabs>
          <w:tab w:val="left" w:pos="481"/>
        </w:tabs>
        <w:spacing w:before="212" w:line="276" w:lineRule="auto"/>
        <w:ind w:right="112"/>
        <w:rPr>
          <w:sz w:val="24"/>
          <w:szCs w:val="24"/>
        </w:rPr>
      </w:pPr>
      <w:r w:rsidRPr="00D53FF2">
        <w:rPr>
          <w:sz w:val="24"/>
          <w:szCs w:val="24"/>
        </w:rPr>
        <w:t xml:space="preserve">A person who holds research ethics approval from a Qualifying REB who wishes to conduct health research in Newfoundland and Labrador is </w:t>
      </w:r>
      <w:r w:rsidRPr="00D53FF2">
        <w:rPr>
          <w:rFonts w:cstheme="minorHAnsi"/>
          <w:sz w:val="24"/>
          <w:szCs w:val="24"/>
        </w:rPr>
        <w:t>required</w:t>
      </w:r>
      <w:r w:rsidRPr="00D53FF2">
        <w:rPr>
          <w:sz w:val="24"/>
          <w:szCs w:val="24"/>
        </w:rPr>
        <w:t xml:space="preserve"> to submit an application to the HREA and indicate, with satisfactory proof, that a prior approval is in effect. The HREB has discretion to determine whether the application is eligible for summary review. If not eligible, the application will be subject to the HREB’s standard ethics review processes.</w:t>
      </w:r>
    </w:p>
    <w:p w14:paraId="0B019EE2" w14:textId="77777777" w:rsidR="000B653F" w:rsidRPr="003E6A62" w:rsidRDefault="000B653F" w:rsidP="00C97CB9">
      <w:pPr>
        <w:pStyle w:val="ListParagraph"/>
        <w:tabs>
          <w:tab w:val="left" w:pos="481"/>
        </w:tabs>
        <w:spacing w:line="276" w:lineRule="auto"/>
        <w:ind w:right="155" w:firstLine="0"/>
        <w:rPr>
          <w:sz w:val="24"/>
        </w:rPr>
      </w:pPr>
    </w:p>
    <w:p w14:paraId="6E4C5D42" w14:textId="08A9EC75" w:rsidR="007807BA" w:rsidRDefault="00F743B9">
      <w:pPr>
        <w:pStyle w:val="ListParagraph"/>
        <w:numPr>
          <w:ilvl w:val="0"/>
          <w:numId w:val="1"/>
        </w:numPr>
        <w:tabs>
          <w:tab w:val="left" w:pos="481"/>
        </w:tabs>
        <w:spacing w:line="276" w:lineRule="auto"/>
        <w:ind w:right="155"/>
        <w:rPr>
          <w:sz w:val="24"/>
        </w:rPr>
      </w:pPr>
      <w:r>
        <w:rPr>
          <w:sz w:val="24"/>
        </w:rPr>
        <w:t>The HREB will adopt a proportiona</w:t>
      </w:r>
      <w:r w:rsidR="007F38D1">
        <w:rPr>
          <w:sz w:val="24"/>
        </w:rPr>
        <w:t>l</w:t>
      </w:r>
      <w:r>
        <w:rPr>
          <w:sz w:val="24"/>
        </w:rPr>
        <w:t xml:space="preserve"> approach to ethics assessment based on the level of risk of</w:t>
      </w:r>
      <w:r>
        <w:rPr>
          <w:spacing w:val="-38"/>
          <w:sz w:val="24"/>
        </w:rPr>
        <w:t xml:space="preserve"> </w:t>
      </w:r>
      <w:r>
        <w:rPr>
          <w:sz w:val="24"/>
        </w:rPr>
        <w:t>the research.</w:t>
      </w:r>
    </w:p>
    <w:p w14:paraId="0681A6F5" w14:textId="77777777" w:rsidR="000B653F" w:rsidRDefault="000B653F" w:rsidP="00C97CB9">
      <w:pPr>
        <w:pStyle w:val="ListParagraph"/>
        <w:tabs>
          <w:tab w:val="left" w:pos="481"/>
        </w:tabs>
        <w:spacing w:line="276" w:lineRule="auto"/>
        <w:ind w:right="155" w:firstLine="0"/>
        <w:rPr>
          <w:sz w:val="24"/>
        </w:rPr>
      </w:pPr>
    </w:p>
    <w:p w14:paraId="105BB370" w14:textId="636490BF" w:rsidR="006F39AA" w:rsidRDefault="006F39AA" w:rsidP="00C97CB9">
      <w:pPr>
        <w:pStyle w:val="ListParagraph"/>
        <w:numPr>
          <w:ilvl w:val="0"/>
          <w:numId w:val="1"/>
        </w:numPr>
        <w:tabs>
          <w:tab w:val="left" w:pos="481"/>
        </w:tabs>
        <w:spacing w:line="276" w:lineRule="auto"/>
        <w:ind w:right="155"/>
        <w:rPr>
          <w:sz w:val="24"/>
        </w:rPr>
      </w:pPr>
      <w:r>
        <w:rPr>
          <w:sz w:val="24"/>
        </w:rPr>
        <w:t xml:space="preserve">For all health research (i) which has received approval from the HREB, or (ii) in respect of which the Authority has received a </w:t>
      </w:r>
      <w:r w:rsidR="00717388">
        <w:rPr>
          <w:sz w:val="24"/>
        </w:rPr>
        <w:t>n</w:t>
      </w:r>
      <w:r>
        <w:rPr>
          <w:sz w:val="24"/>
        </w:rPr>
        <w:t>otification</w:t>
      </w:r>
      <w:r w:rsidR="00717388">
        <w:rPr>
          <w:sz w:val="24"/>
        </w:rPr>
        <w:t xml:space="preserve"> and issued an acknowledgement</w:t>
      </w:r>
      <w:r>
        <w:rPr>
          <w:sz w:val="24"/>
        </w:rPr>
        <w:t>, the HREB is responsible for the following:</w:t>
      </w:r>
    </w:p>
    <w:p w14:paraId="51F095A8" w14:textId="61BF449F" w:rsidR="006F39AA" w:rsidRDefault="006F39AA" w:rsidP="00BD6BE1">
      <w:pPr>
        <w:pStyle w:val="ListParagraph"/>
        <w:numPr>
          <w:ilvl w:val="1"/>
          <w:numId w:val="5"/>
        </w:numPr>
        <w:tabs>
          <w:tab w:val="left" w:pos="481"/>
        </w:tabs>
        <w:spacing w:line="276" w:lineRule="auto"/>
        <w:ind w:right="155"/>
        <w:rPr>
          <w:sz w:val="24"/>
        </w:rPr>
      </w:pPr>
      <w:r>
        <w:rPr>
          <w:sz w:val="24"/>
        </w:rPr>
        <w:t>Monitoring and review of research activities (HRE Act, s13)</w:t>
      </w:r>
      <w:r w:rsidR="00BD6BE1">
        <w:rPr>
          <w:sz w:val="24"/>
        </w:rPr>
        <w:t xml:space="preserve"> (</w:t>
      </w:r>
      <w:r w:rsidR="00BD6BE1">
        <w:rPr>
          <w:i/>
          <w:iCs/>
          <w:sz w:val="24"/>
        </w:rPr>
        <w:t>See</w:t>
      </w:r>
      <w:r w:rsidR="00BD6BE1">
        <w:rPr>
          <w:sz w:val="24"/>
        </w:rPr>
        <w:t xml:space="preserve"> Policy REB-04)</w:t>
      </w:r>
    </w:p>
    <w:p w14:paraId="02A29581" w14:textId="2738D9A3" w:rsidR="007807BA" w:rsidRPr="00C20B4B" w:rsidRDefault="006F39AA" w:rsidP="00C20B4B">
      <w:pPr>
        <w:pStyle w:val="ListParagraph"/>
        <w:numPr>
          <w:ilvl w:val="1"/>
          <w:numId w:val="5"/>
        </w:numPr>
        <w:tabs>
          <w:tab w:val="left" w:pos="481"/>
        </w:tabs>
        <w:spacing w:line="276" w:lineRule="auto"/>
        <w:ind w:right="155"/>
        <w:rPr>
          <w:sz w:val="24"/>
        </w:rPr>
      </w:pPr>
      <w:r>
        <w:rPr>
          <w:sz w:val="24"/>
        </w:rPr>
        <w:lastRenderedPageBreak/>
        <w:t>Receiving close-out reports (HRE Act, s14).</w:t>
      </w:r>
    </w:p>
    <w:p w14:paraId="324E3853" w14:textId="04143D2C" w:rsidR="007807BA" w:rsidRDefault="00F743B9" w:rsidP="00C97CB9">
      <w:pPr>
        <w:pStyle w:val="ListParagraph"/>
        <w:numPr>
          <w:ilvl w:val="0"/>
          <w:numId w:val="1"/>
        </w:numPr>
        <w:tabs>
          <w:tab w:val="left" w:pos="481"/>
        </w:tabs>
        <w:spacing w:before="213" w:line="276" w:lineRule="auto"/>
        <w:ind w:right="321"/>
        <w:rPr>
          <w:sz w:val="24"/>
        </w:rPr>
      </w:pPr>
      <w:bookmarkStart w:id="1" w:name="_Hlk201126941"/>
      <w:r>
        <w:rPr>
          <w:sz w:val="24"/>
        </w:rPr>
        <w:t xml:space="preserve">The HREB </w:t>
      </w:r>
      <w:r w:rsidR="00DB5E27">
        <w:rPr>
          <w:sz w:val="24"/>
        </w:rPr>
        <w:t xml:space="preserve">may state the duration for which an approval is provided for health research activities, and the approval shall </w:t>
      </w:r>
      <w:r w:rsidR="00E84F3B">
        <w:rPr>
          <w:sz w:val="24"/>
        </w:rPr>
        <w:t>have no effect</w:t>
      </w:r>
      <w:r w:rsidR="00DB5E27">
        <w:rPr>
          <w:sz w:val="24"/>
        </w:rPr>
        <w:t xml:space="preserve"> after the stated expiry date. </w:t>
      </w:r>
      <w:bookmarkEnd w:id="1"/>
    </w:p>
    <w:p w14:paraId="3C62DE88" w14:textId="29BCD152" w:rsidR="006F39AA" w:rsidRDefault="006F39AA" w:rsidP="00C97CB9">
      <w:pPr>
        <w:pStyle w:val="ListParagraph"/>
        <w:numPr>
          <w:ilvl w:val="0"/>
          <w:numId w:val="1"/>
        </w:numPr>
        <w:tabs>
          <w:tab w:val="left" w:pos="481"/>
        </w:tabs>
        <w:spacing w:before="212" w:line="276" w:lineRule="auto"/>
        <w:ind w:right="112"/>
        <w:rPr>
          <w:sz w:val="24"/>
        </w:rPr>
      </w:pPr>
      <w:r>
        <w:rPr>
          <w:sz w:val="24"/>
        </w:rPr>
        <w:t>The HREB may make by-laws respecting its duties and powers under the HRE Act (HRE Act, s8(8)).</w:t>
      </w:r>
    </w:p>
    <w:p w14:paraId="7DD3A669" w14:textId="51BCBCE7" w:rsidR="007807BA" w:rsidRDefault="00F743B9" w:rsidP="00C97CB9">
      <w:pPr>
        <w:pStyle w:val="ListParagraph"/>
        <w:numPr>
          <w:ilvl w:val="0"/>
          <w:numId w:val="1"/>
        </w:numPr>
        <w:tabs>
          <w:tab w:val="left" w:pos="481"/>
        </w:tabs>
        <w:spacing w:before="212" w:line="276" w:lineRule="auto"/>
        <w:ind w:right="112"/>
        <w:rPr>
          <w:sz w:val="24"/>
        </w:rPr>
      </w:pPr>
      <w:r>
        <w:rPr>
          <w:sz w:val="24"/>
        </w:rPr>
        <w:t xml:space="preserve">The HREB </w:t>
      </w:r>
      <w:r w:rsidR="000B653F">
        <w:rPr>
          <w:sz w:val="24"/>
        </w:rPr>
        <w:t>shall establish</w:t>
      </w:r>
      <w:r>
        <w:rPr>
          <w:sz w:val="24"/>
        </w:rPr>
        <w:t xml:space="preserve"> procedures </w:t>
      </w:r>
      <w:r w:rsidR="000B653F">
        <w:rPr>
          <w:sz w:val="24"/>
        </w:rPr>
        <w:t>for conducting</w:t>
      </w:r>
      <w:r>
        <w:rPr>
          <w:sz w:val="24"/>
        </w:rPr>
        <w:t xml:space="preserve"> research ethics oversight during publicly declared emergencies. Any modifications to the usual procedural requirements for review will be proportionate to the complexity and urgency of the emergency, and to the risks posed by the research under review. Any modifications that are made in the application of research ethics policies and procedures during a publicly declared emergency will be </w:t>
      </w:r>
      <w:r w:rsidR="000B653F">
        <w:rPr>
          <w:sz w:val="24"/>
        </w:rPr>
        <w:t xml:space="preserve">made publicly available </w:t>
      </w:r>
      <w:r>
        <w:rPr>
          <w:sz w:val="24"/>
        </w:rPr>
        <w:t>via the HREA</w:t>
      </w:r>
      <w:r>
        <w:rPr>
          <w:spacing w:val="-12"/>
          <w:sz w:val="24"/>
        </w:rPr>
        <w:t xml:space="preserve"> </w:t>
      </w:r>
      <w:r>
        <w:rPr>
          <w:sz w:val="24"/>
        </w:rPr>
        <w:t>website.</w:t>
      </w:r>
    </w:p>
    <w:p w14:paraId="097F5DAE" w14:textId="77777777" w:rsidR="00C32A2B" w:rsidRDefault="00C32A2B" w:rsidP="00C32A2B">
      <w:pPr>
        <w:tabs>
          <w:tab w:val="left" w:pos="1400"/>
        </w:tabs>
        <w:ind w:right="-20"/>
        <w:rPr>
          <w:rFonts w:cstheme="minorHAnsi"/>
          <w:sz w:val="24"/>
          <w:szCs w:val="24"/>
        </w:rPr>
      </w:pPr>
    </w:p>
    <w:p w14:paraId="1FC62327" w14:textId="77777777" w:rsidR="007807BA" w:rsidRDefault="007807BA">
      <w:pPr>
        <w:pStyle w:val="BodyText"/>
        <w:spacing w:before="2"/>
        <w:rPr>
          <w:sz w:val="23"/>
        </w:rPr>
      </w:pPr>
    </w:p>
    <w:p w14:paraId="0F3F4DF6" w14:textId="77777777" w:rsidR="007807BA" w:rsidRDefault="00F743B9">
      <w:pPr>
        <w:pStyle w:val="Heading1"/>
      </w:pPr>
      <w:r>
        <w:rPr>
          <w:color w:val="006FC0"/>
        </w:rPr>
        <w:t>RELATED DOCUMENTS</w:t>
      </w:r>
    </w:p>
    <w:p w14:paraId="0A9E9217" w14:textId="27961895" w:rsidR="007807BA" w:rsidRDefault="004D040B" w:rsidP="004D040B">
      <w:pPr>
        <w:spacing w:before="119"/>
        <w:rPr>
          <w:b/>
          <w:i/>
        </w:rPr>
      </w:pPr>
      <w:r>
        <w:rPr>
          <w:b/>
        </w:rPr>
        <w:t xml:space="preserve">  </w:t>
      </w:r>
      <w:r w:rsidR="00F743B9">
        <w:rPr>
          <w:b/>
        </w:rPr>
        <w:t xml:space="preserve">Standard Operating Procedure 102: </w:t>
      </w:r>
      <w:r w:rsidR="00F743B9">
        <w:rPr>
          <w:b/>
          <w:i/>
          <w:position w:val="1"/>
        </w:rPr>
        <w:t>Activities Requiring HREB Review</w:t>
      </w:r>
    </w:p>
    <w:p w14:paraId="005726EB" w14:textId="31D1653A" w:rsidR="007807BA" w:rsidRDefault="00F743B9">
      <w:pPr>
        <w:spacing w:before="79"/>
        <w:ind w:left="120"/>
        <w:rPr>
          <w:b/>
          <w:i/>
        </w:rPr>
      </w:pPr>
      <w:r>
        <w:rPr>
          <w:b/>
        </w:rPr>
        <w:t xml:space="preserve">Standard Operating Procedure 401: </w:t>
      </w:r>
      <w:r>
        <w:rPr>
          <w:b/>
          <w:i/>
          <w:position w:val="1"/>
        </w:rPr>
        <w:t>HREB Review Decisions</w:t>
      </w:r>
    </w:p>
    <w:p w14:paraId="2A7CBF71" w14:textId="20E1D548" w:rsidR="007807BA" w:rsidRDefault="00F743B9">
      <w:pPr>
        <w:spacing w:before="82"/>
        <w:ind w:left="120"/>
        <w:rPr>
          <w:b/>
          <w:i/>
        </w:rPr>
      </w:pPr>
      <w:r>
        <w:rPr>
          <w:b/>
        </w:rPr>
        <w:t xml:space="preserve">Standard Operating Procedure 402: </w:t>
      </w:r>
      <w:r>
        <w:rPr>
          <w:b/>
          <w:i/>
        </w:rPr>
        <w:t>Delegated Review</w:t>
      </w:r>
    </w:p>
    <w:p w14:paraId="0EC92321" w14:textId="75C4A6A8" w:rsidR="007807BA" w:rsidRDefault="00F743B9">
      <w:pPr>
        <w:spacing w:before="79"/>
        <w:ind w:left="120"/>
        <w:rPr>
          <w:b/>
          <w:i/>
        </w:rPr>
      </w:pPr>
      <w:r>
        <w:rPr>
          <w:b/>
        </w:rPr>
        <w:t xml:space="preserve">Standard Operating Procedure 403: </w:t>
      </w:r>
      <w:r>
        <w:rPr>
          <w:b/>
          <w:i/>
          <w:position w:val="1"/>
        </w:rPr>
        <w:t>Initial Review – Criteria For HREB Approval</w:t>
      </w:r>
    </w:p>
    <w:p w14:paraId="55555904" w14:textId="0E0BED38" w:rsidR="007807BA" w:rsidRDefault="00F743B9">
      <w:pPr>
        <w:spacing w:before="79"/>
        <w:ind w:left="120"/>
        <w:rPr>
          <w:b/>
          <w:i/>
        </w:rPr>
      </w:pPr>
      <w:r>
        <w:rPr>
          <w:b/>
        </w:rPr>
        <w:t xml:space="preserve">Standard Operating Procedure 404: </w:t>
      </w:r>
      <w:r>
        <w:rPr>
          <w:b/>
          <w:i/>
          <w:position w:val="1"/>
        </w:rPr>
        <w:t>Ongoing HREB Review Activities</w:t>
      </w:r>
    </w:p>
    <w:p w14:paraId="4644D8DA" w14:textId="3D603803" w:rsidR="007807BA" w:rsidRDefault="00F743B9">
      <w:pPr>
        <w:spacing w:before="83"/>
        <w:ind w:left="120"/>
        <w:rPr>
          <w:b/>
          <w:i/>
        </w:rPr>
      </w:pPr>
      <w:r>
        <w:rPr>
          <w:b/>
        </w:rPr>
        <w:t xml:space="preserve">Standard Operating Procedure 405: </w:t>
      </w:r>
      <w:r>
        <w:rPr>
          <w:b/>
          <w:i/>
        </w:rPr>
        <w:t>Continuing Review</w:t>
      </w:r>
    </w:p>
    <w:p w14:paraId="5A3FFA56" w14:textId="7218667A" w:rsidR="007807BA" w:rsidRDefault="00F743B9">
      <w:pPr>
        <w:spacing w:before="79"/>
        <w:ind w:left="120"/>
        <w:rPr>
          <w:b/>
        </w:rPr>
      </w:pPr>
      <w:r>
        <w:rPr>
          <w:b/>
        </w:rPr>
        <w:t xml:space="preserve">Standard Operating Procedure 406: </w:t>
      </w:r>
      <w:r w:rsidRPr="00FF779D">
        <w:rPr>
          <w:b/>
          <w:i/>
          <w:iCs/>
        </w:rPr>
        <w:t>Research Completion</w:t>
      </w:r>
    </w:p>
    <w:p w14:paraId="4A900DED" w14:textId="124F6875" w:rsidR="003E7E02" w:rsidRDefault="003E7E02">
      <w:pPr>
        <w:spacing w:before="79"/>
        <w:ind w:left="120"/>
        <w:rPr>
          <w:b/>
        </w:rPr>
      </w:pPr>
      <w:r>
        <w:rPr>
          <w:b/>
        </w:rPr>
        <w:t>Standard Operating Procedure 408</w:t>
      </w:r>
      <w:r w:rsidRPr="00FF779D">
        <w:rPr>
          <w:b/>
          <w:i/>
          <w:iCs/>
        </w:rPr>
        <w:t xml:space="preserve">: </w:t>
      </w:r>
      <w:r w:rsidR="00FF779D" w:rsidRPr="00FF779D">
        <w:rPr>
          <w:b/>
          <w:i/>
          <w:iCs/>
        </w:rPr>
        <w:t xml:space="preserve">Reconsideration of HREB Decisions </w:t>
      </w:r>
      <w:r w:rsidR="00FF779D">
        <w:rPr>
          <w:b/>
          <w:i/>
          <w:iCs/>
        </w:rPr>
        <w:t>a</w:t>
      </w:r>
      <w:r w:rsidR="00FF779D" w:rsidRPr="00FF779D">
        <w:rPr>
          <w:b/>
          <w:i/>
          <w:iCs/>
        </w:rPr>
        <w:t>nd Appeal Process</w:t>
      </w:r>
    </w:p>
    <w:p w14:paraId="63739898" w14:textId="0C1C148D" w:rsidR="007807BA" w:rsidRDefault="00F743B9">
      <w:pPr>
        <w:spacing w:before="79"/>
        <w:ind w:left="120"/>
        <w:rPr>
          <w:b/>
          <w:i/>
        </w:rPr>
      </w:pPr>
      <w:r>
        <w:rPr>
          <w:b/>
        </w:rPr>
        <w:t xml:space="preserve">Standard Operating Procedure 501: </w:t>
      </w:r>
      <w:r>
        <w:rPr>
          <w:b/>
          <w:i/>
          <w:position w:val="1"/>
        </w:rPr>
        <w:t xml:space="preserve">HREB Review During Publicly </w:t>
      </w:r>
      <w:r>
        <w:rPr>
          <w:b/>
          <w:i/>
        </w:rPr>
        <w:t>Declared Emergencies</w:t>
      </w:r>
    </w:p>
    <w:p w14:paraId="64B1F9E0" w14:textId="638EE2CB" w:rsidR="007807BA" w:rsidRDefault="00F743B9">
      <w:pPr>
        <w:spacing w:before="82"/>
        <w:ind w:left="120"/>
        <w:rPr>
          <w:b/>
          <w:i/>
          <w:position w:val="1"/>
        </w:rPr>
      </w:pPr>
      <w:r>
        <w:rPr>
          <w:b/>
        </w:rPr>
        <w:t xml:space="preserve">Standard Operating Procedure 601: </w:t>
      </w:r>
      <w:r>
        <w:rPr>
          <w:b/>
          <w:i/>
          <w:position w:val="1"/>
        </w:rPr>
        <w:t>Communication ‐ Researcher</w:t>
      </w:r>
    </w:p>
    <w:p w14:paraId="1ACBED7B" w14:textId="77777777" w:rsidR="007807BA" w:rsidRDefault="007807BA">
      <w:pPr>
        <w:pStyle w:val="BodyText"/>
        <w:spacing w:before="6"/>
        <w:rPr>
          <w:b/>
          <w:i/>
          <w:sz w:val="26"/>
        </w:rPr>
      </w:pPr>
    </w:p>
    <w:p w14:paraId="7F2869B4" w14:textId="77777777" w:rsidR="00745722" w:rsidRPr="00C97CB9" w:rsidRDefault="00745722" w:rsidP="00C97CB9">
      <w:pPr>
        <w:pStyle w:val="ListParagraph"/>
        <w:spacing w:before="1"/>
        <w:ind w:right="213" w:firstLine="0"/>
      </w:pPr>
    </w:p>
    <w:p w14:paraId="4C6C0890" w14:textId="77777777" w:rsidR="00745722" w:rsidRPr="00C97CB9" w:rsidRDefault="00745722" w:rsidP="00C97CB9">
      <w:pPr>
        <w:pStyle w:val="longtitle"/>
        <w:numPr>
          <w:ilvl w:val="0"/>
          <w:numId w:val="3"/>
        </w:numPr>
        <w:spacing w:before="0" w:beforeAutospacing="0" w:after="0" w:afterAutospacing="0"/>
        <w:rPr>
          <w:rFonts w:asciiTheme="minorHAnsi" w:eastAsiaTheme="minorHAnsi" w:hAnsiTheme="minorHAnsi" w:cstheme="minorBidi"/>
          <w:szCs w:val="20"/>
        </w:rPr>
      </w:pPr>
      <w:r w:rsidRPr="00B93E0C">
        <w:rPr>
          <w:rFonts w:asciiTheme="minorHAnsi" w:hAnsiTheme="minorHAnsi" w:cstheme="minorHAnsi"/>
          <w:i/>
          <w:sz w:val="22"/>
          <w:szCs w:val="20"/>
          <w:shd w:val="clear" w:color="auto" w:fill="FFFFFF"/>
        </w:rPr>
        <w:t>Health Research Ethics Act:</w:t>
      </w:r>
      <w:r w:rsidRPr="00B93E0C">
        <w:rPr>
          <w:rFonts w:asciiTheme="minorHAnsi" w:hAnsiTheme="minorHAnsi" w:cstheme="minorHAnsi"/>
          <w:sz w:val="22"/>
          <w:szCs w:val="20"/>
          <w:shd w:val="clear" w:color="auto" w:fill="FFFFFF"/>
        </w:rPr>
        <w:t xml:space="preserve"> </w:t>
      </w:r>
      <w:r w:rsidRPr="00B93E0C">
        <w:rPr>
          <w:rFonts w:asciiTheme="minorHAnsi" w:hAnsiTheme="minorHAnsi" w:cstheme="minorHAnsi"/>
          <w:bCs/>
          <w:sz w:val="22"/>
          <w:szCs w:val="20"/>
          <w:lang w:val="en-CA"/>
        </w:rPr>
        <w:t>An act respecting health research ethics. (2025). Retrieved from</w:t>
      </w:r>
      <w:r w:rsidRPr="00B93E0C">
        <w:rPr>
          <w:rFonts w:asciiTheme="minorHAnsi" w:hAnsiTheme="minorHAnsi" w:cstheme="minorHAnsi"/>
          <w:bCs/>
          <w:color w:val="000000"/>
          <w:sz w:val="22"/>
          <w:szCs w:val="20"/>
          <w:lang w:val="en-CA"/>
        </w:rPr>
        <w:t xml:space="preserve">: </w:t>
      </w:r>
      <w:hyperlink r:id="rId9" w:anchor="8_" w:history="1">
        <w:r w:rsidRPr="00B93E0C">
          <w:rPr>
            <w:rStyle w:val="Hyperlink"/>
            <w:rFonts w:asciiTheme="minorHAnsi" w:hAnsiTheme="minorHAnsi" w:cstheme="minorHAnsi"/>
            <w:bCs/>
            <w:sz w:val="22"/>
            <w:szCs w:val="20"/>
          </w:rPr>
          <w:t>SNL2024 CHAPTER H-1.03 - HEALTH RESEARCH ETHICS ACT</w:t>
        </w:r>
        <w:r>
          <w:rPr>
            <w:rStyle w:val="Hyperlink"/>
            <w:rFonts w:asciiTheme="minorHAnsi" w:hAnsiTheme="minorHAnsi" w:cstheme="minorHAnsi"/>
            <w:bCs/>
            <w:sz w:val="22"/>
            <w:szCs w:val="20"/>
          </w:rPr>
          <w:t xml:space="preserve"> </w:t>
        </w:r>
        <w:r w:rsidRPr="00B93E0C">
          <w:rPr>
            <w:rStyle w:val="Hyperlink"/>
            <w:rFonts w:asciiTheme="minorHAnsi" w:hAnsiTheme="minorHAnsi" w:cstheme="minorHAnsi"/>
            <w:bCs/>
            <w:sz w:val="22"/>
            <w:szCs w:val="20"/>
          </w:rPr>
          <w:t>[In force July 1/25]</w:t>
        </w:r>
      </w:hyperlink>
    </w:p>
    <w:p w14:paraId="679164FC" w14:textId="77777777" w:rsidR="007807BA" w:rsidRDefault="007807BA">
      <w:pPr>
        <w:pStyle w:val="BodyText"/>
        <w:spacing w:before="3"/>
        <w:rPr>
          <w:sz w:val="17"/>
        </w:rPr>
      </w:pPr>
    </w:p>
    <w:p w14:paraId="4FDC0E3C" w14:textId="77777777" w:rsidR="007807BA" w:rsidRDefault="00F743B9" w:rsidP="00C97CB9">
      <w:pPr>
        <w:pStyle w:val="ListParagraph"/>
        <w:numPr>
          <w:ilvl w:val="0"/>
          <w:numId w:val="3"/>
        </w:numPr>
        <w:spacing w:before="56"/>
        <w:ind w:right="213"/>
      </w:pPr>
      <w:r>
        <w:t xml:space="preserve">The Tri‐Council Policy Statement: Ethical Conduct for Research Involving Humans. Retrieved from: </w:t>
      </w:r>
      <w:hyperlink r:id="rId10" w:history="1">
        <w:r w:rsidRPr="00AB4324">
          <w:rPr>
            <w:rStyle w:val="Hyperlink"/>
          </w:rPr>
          <w:t>https://ethics.gc.ca/eng/documents/tcps2-2022-en.pdf</w:t>
        </w:r>
      </w:hyperlink>
      <w:r>
        <w:t xml:space="preserve"> </w:t>
      </w:r>
    </w:p>
    <w:p w14:paraId="481AE2D9" w14:textId="77777777" w:rsidR="00F743B9" w:rsidRDefault="00F743B9">
      <w:pPr>
        <w:spacing w:before="56"/>
        <w:ind w:left="120" w:right="213"/>
      </w:pPr>
    </w:p>
    <w:p w14:paraId="486BE899" w14:textId="77777777" w:rsidR="00F743B9" w:rsidRDefault="00F743B9" w:rsidP="00F743B9">
      <w:pPr>
        <w:tabs>
          <w:tab w:val="left" w:pos="840"/>
        </w:tabs>
        <w:ind w:right="-20"/>
        <w:rPr>
          <w:b/>
          <w:bCs/>
          <w:color w:val="0070C0"/>
          <w:sz w:val="24"/>
          <w:szCs w:val="24"/>
        </w:rPr>
      </w:pPr>
    </w:p>
    <w:p w14:paraId="6EC71A95" w14:textId="77777777" w:rsidR="00F743B9" w:rsidRPr="00E40EA9" w:rsidRDefault="00F743B9" w:rsidP="00F743B9">
      <w:pPr>
        <w:tabs>
          <w:tab w:val="left" w:pos="840"/>
        </w:tabs>
        <w:ind w:right="-20"/>
        <w:rPr>
          <w:b/>
          <w:sz w:val="24"/>
          <w:szCs w:val="24"/>
        </w:rPr>
      </w:pPr>
      <w:r w:rsidRPr="00E40EA9">
        <w:rPr>
          <w:b/>
          <w:bCs/>
          <w:color w:val="0070C0"/>
          <w:sz w:val="24"/>
          <w:szCs w:val="24"/>
        </w:rPr>
        <w:t>VERSION HISTORY</w:t>
      </w:r>
    </w:p>
    <w:p w14:paraId="6753C0A2" w14:textId="77777777" w:rsidR="00F743B9" w:rsidRDefault="00F743B9" w:rsidP="00F743B9">
      <w:pPr>
        <w:ind w:left="100" w:right="-20"/>
        <w:rPr>
          <w:sz w:val="20"/>
          <w:szCs w:val="20"/>
        </w:rPr>
      </w:pPr>
    </w:p>
    <w:p w14:paraId="13120675" w14:textId="77777777" w:rsidR="00F743B9" w:rsidRDefault="00F743B9" w:rsidP="00F743B9">
      <w:pPr>
        <w:ind w:left="100" w:right="-20"/>
        <w:rPr>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7587"/>
      </w:tblGrid>
      <w:tr w:rsidR="00F743B9" w:rsidRPr="00B50E8A" w14:paraId="2931CD41" w14:textId="77777777" w:rsidTr="00DB6B72">
        <w:tc>
          <w:tcPr>
            <w:tcW w:w="2038" w:type="dxa"/>
          </w:tcPr>
          <w:p w14:paraId="358E76CB" w14:textId="77777777" w:rsidR="00F743B9" w:rsidRPr="00B50E8A" w:rsidRDefault="00F743B9" w:rsidP="00DB6B72">
            <w:pPr>
              <w:jc w:val="center"/>
              <w:rPr>
                <w:b/>
              </w:rPr>
            </w:pPr>
            <w:r>
              <w:rPr>
                <w:b/>
              </w:rPr>
              <w:t>Revision</w:t>
            </w:r>
            <w:r w:rsidRPr="00B50E8A">
              <w:rPr>
                <w:b/>
              </w:rPr>
              <w:t xml:space="preserve"> Date</w:t>
            </w:r>
          </w:p>
        </w:tc>
        <w:tc>
          <w:tcPr>
            <w:tcW w:w="7587" w:type="dxa"/>
          </w:tcPr>
          <w:p w14:paraId="35701DBE" w14:textId="77777777" w:rsidR="00F743B9" w:rsidRPr="00B50E8A" w:rsidRDefault="00F743B9" w:rsidP="00DB6B72">
            <w:pPr>
              <w:jc w:val="center"/>
              <w:rPr>
                <w:b/>
              </w:rPr>
            </w:pPr>
            <w:r>
              <w:rPr>
                <w:b/>
              </w:rPr>
              <w:t xml:space="preserve">Summary of Changes </w:t>
            </w:r>
          </w:p>
        </w:tc>
      </w:tr>
      <w:tr w:rsidR="00F743B9" w:rsidRPr="00B50E8A" w14:paraId="27F11787" w14:textId="77777777" w:rsidTr="00DB6B72">
        <w:tc>
          <w:tcPr>
            <w:tcW w:w="2038" w:type="dxa"/>
          </w:tcPr>
          <w:p w14:paraId="769BF82C" w14:textId="77777777" w:rsidR="00F743B9" w:rsidRPr="008C0BA7" w:rsidRDefault="00F743B9" w:rsidP="00DB6B72">
            <w:pPr>
              <w:jc w:val="center"/>
              <w:rPr>
                <w:iCs/>
              </w:rPr>
            </w:pPr>
            <w:r>
              <w:rPr>
                <w:iCs/>
              </w:rPr>
              <w:t>January 2021</w:t>
            </w:r>
          </w:p>
        </w:tc>
        <w:tc>
          <w:tcPr>
            <w:tcW w:w="7587" w:type="dxa"/>
          </w:tcPr>
          <w:p w14:paraId="588CADB6" w14:textId="77777777" w:rsidR="00F743B9" w:rsidRPr="008C0BA7" w:rsidRDefault="00F743B9" w:rsidP="00DB6B72">
            <w:r w:rsidRPr="008C0BA7">
              <w:t>Original version</w:t>
            </w:r>
          </w:p>
        </w:tc>
      </w:tr>
      <w:tr w:rsidR="00F743B9" w:rsidRPr="00B50E8A" w14:paraId="4FF0531D" w14:textId="77777777" w:rsidTr="00DB6B72">
        <w:tc>
          <w:tcPr>
            <w:tcW w:w="2038" w:type="dxa"/>
          </w:tcPr>
          <w:p w14:paraId="67206BE9" w14:textId="77777777" w:rsidR="00F743B9" w:rsidRPr="008C0BA7" w:rsidRDefault="00F743B9" w:rsidP="00DB6B72">
            <w:pPr>
              <w:jc w:val="center"/>
            </w:pPr>
            <w:r>
              <w:rPr>
                <w:iCs/>
              </w:rPr>
              <w:t>April 2024</w:t>
            </w:r>
          </w:p>
        </w:tc>
        <w:tc>
          <w:tcPr>
            <w:tcW w:w="7587" w:type="dxa"/>
          </w:tcPr>
          <w:p w14:paraId="61D8A9A0" w14:textId="77777777" w:rsidR="00F743B9" w:rsidRPr="004560D3" w:rsidRDefault="00F743B9" w:rsidP="00DB6B72">
            <w:r>
              <w:rPr>
                <w:bCs/>
                <w:spacing w:val="-1"/>
              </w:rPr>
              <w:t>TCPS 2 (2022)</w:t>
            </w:r>
          </w:p>
        </w:tc>
      </w:tr>
      <w:tr w:rsidR="00745722" w:rsidRPr="00B50E8A" w14:paraId="18FDA731" w14:textId="77777777" w:rsidTr="00DB6B72">
        <w:tc>
          <w:tcPr>
            <w:tcW w:w="2038" w:type="dxa"/>
          </w:tcPr>
          <w:p w14:paraId="51B16044" w14:textId="360D43CB" w:rsidR="00745722" w:rsidRDefault="00E6042E" w:rsidP="00DB6B72">
            <w:pPr>
              <w:jc w:val="center"/>
              <w:rPr>
                <w:iCs/>
              </w:rPr>
            </w:pPr>
            <w:r>
              <w:rPr>
                <w:iCs/>
              </w:rPr>
              <w:t>June</w:t>
            </w:r>
            <w:r w:rsidR="00745722">
              <w:rPr>
                <w:iCs/>
              </w:rPr>
              <w:t xml:space="preserve"> 2025</w:t>
            </w:r>
          </w:p>
        </w:tc>
        <w:tc>
          <w:tcPr>
            <w:tcW w:w="7587" w:type="dxa"/>
          </w:tcPr>
          <w:p w14:paraId="1CC6FDA7" w14:textId="63C2DD90" w:rsidR="00745722" w:rsidRDefault="00C94273" w:rsidP="00DB6B72">
            <w:pPr>
              <w:rPr>
                <w:bCs/>
                <w:spacing w:val="-1"/>
              </w:rPr>
            </w:pPr>
            <w:r>
              <w:rPr>
                <w:bCs/>
                <w:spacing w:val="-1"/>
              </w:rPr>
              <w:t>Health Research Ethics Act (2025)</w:t>
            </w:r>
          </w:p>
        </w:tc>
      </w:tr>
    </w:tbl>
    <w:p w14:paraId="5603CD21" w14:textId="77777777" w:rsidR="00F743B9" w:rsidRDefault="00F743B9" w:rsidP="00F743B9">
      <w:pPr>
        <w:spacing w:before="56"/>
        <w:ind w:right="213"/>
      </w:pPr>
    </w:p>
    <w:sectPr w:rsidR="00F743B9">
      <w:headerReference w:type="even" r:id="rId11"/>
      <w:headerReference w:type="default" r:id="rId12"/>
      <w:footerReference w:type="even" r:id="rId13"/>
      <w:footerReference w:type="default" r:id="rId14"/>
      <w:headerReference w:type="first" r:id="rId15"/>
      <w:footerReference w:type="first" r:id="rId16"/>
      <w:pgSz w:w="12240" w:h="15840"/>
      <w:pgMar w:top="1560" w:right="920" w:bottom="280" w:left="96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D3CFA" w14:textId="77777777" w:rsidR="0087387F" w:rsidRDefault="00F743B9">
      <w:r>
        <w:separator/>
      </w:r>
    </w:p>
  </w:endnote>
  <w:endnote w:type="continuationSeparator" w:id="0">
    <w:p w14:paraId="72A8034C" w14:textId="77777777" w:rsidR="0087387F" w:rsidRDefault="00F74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A973" w14:textId="77777777" w:rsidR="00C94273" w:rsidRDefault="00C94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4B600" w14:textId="77777777" w:rsidR="00C94273" w:rsidRDefault="00C942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8344C" w14:textId="77777777" w:rsidR="00C94273" w:rsidRDefault="00C94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01FC2" w14:textId="77777777" w:rsidR="0087387F" w:rsidRDefault="00F743B9">
      <w:r>
        <w:separator/>
      </w:r>
    </w:p>
  </w:footnote>
  <w:footnote w:type="continuationSeparator" w:id="0">
    <w:p w14:paraId="7A4EFFD1" w14:textId="77777777" w:rsidR="0087387F" w:rsidRDefault="00F74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24E6" w14:textId="77777777" w:rsidR="00C94273" w:rsidRDefault="00C94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AD24E" w14:textId="77777777" w:rsidR="00C94273" w:rsidRDefault="00C94273" w:rsidP="00C94273">
    <w:pPr>
      <w:pStyle w:val="Header"/>
      <w:jc w:val="right"/>
    </w:pPr>
    <w:r>
      <w:t>Review of Health Research by the HREB Policy</w:t>
    </w:r>
  </w:p>
  <w:p w14:paraId="4FE36E76" w14:textId="65D2EF99" w:rsidR="00C94273" w:rsidRDefault="00C94273" w:rsidP="00C94273">
    <w:pPr>
      <w:pStyle w:val="Header"/>
      <w:jc w:val="right"/>
    </w:pPr>
    <w:r>
      <w:t>HREA-REB03</w:t>
    </w:r>
  </w:p>
  <w:sdt>
    <w:sdtPr>
      <w:id w:val="98381352"/>
      <w:docPartObj>
        <w:docPartGallery w:val="Page Numbers (Top of Page)"/>
        <w:docPartUnique/>
      </w:docPartObj>
    </w:sdtPr>
    <w:sdtEndPr/>
    <w:sdtContent>
      <w:p w14:paraId="30D77EA1" w14:textId="2A81C807" w:rsidR="00C94273" w:rsidRDefault="00C94273" w:rsidP="00C94273">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FA48641" w14:textId="74851730" w:rsidR="007807BA" w:rsidRDefault="007807BA">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149C" w14:textId="77777777" w:rsidR="00C94273" w:rsidRDefault="00C94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03F22"/>
    <w:multiLevelType w:val="hybridMultilevel"/>
    <w:tmpl w:val="EFB20534"/>
    <w:name w:val="UnnamedList48325"/>
    <w:lvl w:ilvl="0" w:tplc="0409000F">
      <w:start w:val="1"/>
      <w:numFmt w:val="decimal"/>
      <w:lvlText w:val="%1."/>
      <w:lvlJc w:val="left"/>
      <w:pPr>
        <w:ind w:left="480"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205F24D6"/>
    <w:multiLevelType w:val="hybridMultilevel"/>
    <w:tmpl w:val="B55AE9C0"/>
    <w:name w:val="UnnamedList73018"/>
    <w:lvl w:ilvl="0" w:tplc="EEAAB862">
      <w:start w:val="1"/>
      <w:numFmt w:val="decimal"/>
      <w:lvlText w:val="%1."/>
      <w:lvlJc w:val="left"/>
      <w:pPr>
        <w:ind w:left="840" w:hanging="361"/>
      </w:pPr>
      <w:rPr>
        <w:rFonts w:ascii="Calibri" w:eastAsia="Calibri" w:hAnsi="Calibri" w:cs="Calibri" w:hint="default"/>
        <w:spacing w:val="-5"/>
        <w:w w:val="100"/>
        <w:sz w:val="24"/>
        <w:szCs w:val="24"/>
        <w:lang w:val="en-US" w:eastAsia="en-US" w:bidi="en-US"/>
      </w:rPr>
    </w:lvl>
    <w:lvl w:ilvl="1" w:tplc="3C90BA40">
      <w:numFmt w:val="bullet"/>
      <w:lvlText w:val="•"/>
      <w:lvlJc w:val="left"/>
      <w:pPr>
        <w:ind w:left="1792" w:hanging="361"/>
      </w:pPr>
      <w:rPr>
        <w:rFonts w:hint="default"/>
        <w:lang w:val="en-US" w:eastAsia="en-US" w:bidi="en-US"/>
      </w:rPr>
    </w:lvl>
    <w:lvl w:ilvl="2" w:tplc="C682EE16">
      <w:numFmt w:val="bullet"/>
      <w:lvlText w:val="•"/>
      <w:lvlJc w:val="left"/>
      <w:pPr>
        <w:ind w:left="2744" w:hanging="361"/>
      </w:pPr>
      <w:rPr>
        <w:rFonts w:hint="default"/>
        <w:lang w:val="en-US" w:eastAsia="en-US" w:bidi="en-US"/>
      </w:rPr>
    </w:lvl>
    <w:lvl w:ilvl="3" w:tplc="82187246">
      <w:numFmt w:val="bullet"/>
      <w:lvlText w:val="•"/>
      <w:lvlJc w:val="left"/>
      <w:pPr>
        <w:ind w:left="3696" w:hanging="361"/>
      </w:pPr>
      <w:rPr>
        <w:rFonts w:hint="default"/>
        <w:lang w:val="en-US" w:eastAsia="en-US" w:bidi="en-US"/>
      </w:rPr>
    </w:lvl>
    <w:lvl w:ilvl="4" w:tplc="6AFCAC6A">
      <w:numFmt w:val="bullet"/>
      <w:lvlText w:val="•"/>
      <w:lvlJc w:val="left"/>
      <w:pPr>
        <w:ind w:left="4648" w:hanging="361"/>
      </w:pPr>
      <w:rPr>
        <w:rFonts w:hint="default"/>
        <w:lang w:val="en-US" w:eastAsia="en-US" w:bidi="en-US"/>
      </w:rPr>
    </w:lvl>
    <w:lvl w:ilvl="5" w:tplc="D7988708">
      <w:numFmt w:val="bullet"/>
      <w:lvlText w:val="•"/>
      <w:lvlJc w:val="left"/>
      <w:pPr>
        <w:ind w:left="5600" w:hanging="361"/>
      </w:pPr>
      <w:rPr>
        <w:rFonts w:hint="default"/>
        <w:lang w:val="en-US" w:eastAsia="en-US" w:bidi="en-US"/>
      </w:rPr>
    </w:lvl>
    <w:lvl w:ilvl="6" w:tplc="C596B0B2">
      <w:numFmt w:val="bullet"/>
      <w:lvlText w:val="•"/>
      <w:lvlJc w:val="left"/>
      <w:pPr>
        <w:ind w:left="6552" w:hanging="361"/>
      </w:pPr>
      <w:rPr>
        <w:rFonts w:hint="default"/>
        <w:lang w:val="en-US" w:eastAsia="en-US" w:bidi="en-US"/>
      </w:rPr>
    </w:lvl>
    <w:lvl w:ilvl="7" w:tplc="4768BC0C">
      <w:numFmt w:val="bullet"/>
      <w:lvlText w:val="•"/>
      <w:lvlJc w:val="left"/>
      <w:pPr>
        <w:ind w:left="7504" w:hanging="361"/>
      </w:pPr>
      <w:rPr>
        <w:rFonts w:hint="default"/>
        <w:lang w:val="en-US" w:eastAsia="en-US" w:bidi="en-US"/>
      </w:rPr>
    </w:lvl>
    <w:lvl w:ilvl="8" w:tplc="CE509366">
      <w:numFmt w:val="bullet"/>
      <w:lvlText w:val="•"/>
      <w:lvlJc w:val="left"/>
      <w:pPr>
        <w:ind w:left="8456" w:hanging="361"/>
      </w:pPr>
      <w:rPr>
        <w:rFonts w:hint="default"/>
        <w:lang w:val="en-US" w:eastAsia="en-US" w:bidi="en-US"/>
      </w:rPr>
    </w:lvl>
  </w:abstractNum>
  <w:abstractNum w:abstractNumId="2" w15:restartNumberingAfterBreak="0">
    <w:nsid w:val="3B304F1F"/>
    <w:multiLevelType w:val="hybridMultilevel"/>
    <w:tmpl w:val="B36A7B94"/>
    <w:name w:val="UnnamedList83112"/>
    <w:lvl w:ilvl="0" w:tplc="418A9606">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08732DE"/>
    <w:multiLevelType w:val="hybridMultilevel"/>
    <w:tmpl w:val="387C342E"/>
    <w:name w:val="UnnamedList115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D5975C0"/>
    <w:multiLevelType w:val="hybridMultilevel"/>
    <w:tmpl w:val="14B85098"/>
    <w:name w:val="UnnamedList82078"/>
    <w:lvl w:ilvl="0" w:tplc="29422C68">
      <w:start w:val="1"/>
      <w:numFmt w:val="decimal"/>
      <w:lvlText w:val="%1."/>
      <w:lvlJc w:val="left"/>
      <w:pPr>
        <w:ind w:left="480" w:hanging="360"/>
      </w:pPr>
      <w:rPr>
        <w:rFonts w:ascii="Calibri" w:eastAsia="Calibri" w:hAnsi="Calibri" w:cs="Calibri" w:hint="default"/>
        <w:i w:val="0"/>
        <w:iCs/>
        <w:spacing w:val="-4"/>
        <w:w w:val="100"/>
        <w:sz w:val="24"/>
        <w:szCs w:val="24"/>
        <w:lang w:val="en-US" w:eastAsia="en-US" w:bidi="en-US"/>
      </w:rPr>
    </w:lvl>
    <w:lvl w:ilvl="1" w:tplc="0090D0BA">
      <w:numFmt w:val="bullet"/>
      <w:lvlText w:val="•"/>
      <w:lvlJc w:val="left"/>
      <w:pPr>
        <w:ind w:left="1468" w:hanging="360"/>
      </w:pPr>
      <w:rPr>
        <w:rFonts w:hint="default"/>
        <w:lang w:val="en-US" w:eastAsia="en-US" w:bidi="en-US"/>
      </w:rPr>
    </w:lvl>
    <w:lvl w:ilvl="2" w:tplc="F8B278A6">
      <w:numFmt w:val="bullet"/>
      <w:lvlText w:val="•"/>
      <w:lvlJc w:val="left"/>
      <w:pPr>
        <w:ind w:left="2456" w:hanging="360"/>
      </w:pPr>
      <w:rPr>
        <w:rFonts w:hint="default"/>
        <w:lang w:val="en-US" w:eastAsia="en-US" w:bidi="en-US"/>
      </w:rPr>
    </w:lvl>
    <w:lvl w:ilvl="3" w:tplc="EC8A1386">
      <w:numFmt w:val="bullet"/>
      <w:lvlText w:val="•"/>
      <w:lvlJc w:val="left"/>
      <w:pPr>
        <w:ind w:left="3444" w:hanging="360"/>
      </w:pPr>
      <w:rPr>
        <w:rFonts w:hint="default"/>
        <w:lang w:val="en-US" w:eastAsia="en-US" w:bidi="en-US"/>
      </w:rPr>
    </w:lvl>
    <w:lvl w:ilvl="4" w:tplc="7904077C">
      <w:numFmt w:val="bullet"/>
      <w:lvlText w:val="•"/>
      <w:lvlJc w:val="left"/>
      <w:pPr>
        <w:ind w:left="4432" w:hanging="360"/>
      </w:pPr>
      <w:rPr>
        <w:rFonts w:hint="default"/>
        <w:lang w:val="en-US" w:eastAsia="en-US" w:bidi="en-US"/>
      </w:rPr>
    </w:lvl>
    <w:lvl w:ilvl="5" w:tplc="A1781D48">
      <w:numFmt w:val="bullet"/>
      <w:lvlText w:val="•"/>
      <w:lvlJc w:val="left"/>
      <w:pPr>
        <w:ind w:left="5420" w:hanging="360"/>
      </w:pPr>
      <w:rPr>
        <w:rFonts w:hint="default"/>
        <w:lang w:val="en-US" w:eastAsia="en-US" w:bidi="en-US"/>
      </w:rPr>
    </w:lvl>
    <w:lvl w:ilvl="6" w:tplc="DA22DCE0">
      <w:numFmt w:val="bullet"/>
      <w:lvlText w:val="•"/>
      <w:lvlJc w:val="left"/>
      <w:pPr>
        <w:ind w:left="6408" w:hanging="360"/>
      </w:pPr>
      <w:rPr>
        <w:rFonts w:hint="default"/>
        <w:lang w:val="en-US" w:eastAsia="en-US" w:bidi="en-US"/>
      </w:rPr>
    </w:lvl>
    <w:lvl w:ilvl="7" w:tplc="0282B320">
      <w:numFmt w:val="bullet"/>
      <w:lvlText w:val="•"/>
      <w:lvlJc w:val="left"/>
      <w:pPr>
        <w:ind w:left="7396" w:hanging="360"/>
      </w:pPr>
      <w:rPr>
        <w:rFonts w:hint="default"/>
        <w:lang w:val="en-US" w:eastAsia="en-US" w:bidi="en-US"/>
      </w:rPr>
    </w:lvl>
    <w:lvl w:ilvl="8" w:tplc="6EB49290">
      <w:numFmt w:val="bullet"/>
      <w:lvlText w:val="•"/>
      <w:lvlJc w:val="left"/>
      <w:pPr>
        <w:ind w:left="8384" w:hanging="360"/>
      </w:pPr>
      <w:rPr>
        <w:rFonts w:hint="default"/>
        <w:lang w:val="en-US" w:eastAsia="en-US" w:bidi="en-US"/>
      </w:rPr>
    </w:lvl>
  </w:abstractNum>
  <w:abstractNum w:abstractNumId="5" w15:restartNumberingAfterBreak="0">
    <w:nsid w:val="60D6420F"/>
    <w:multiLevelType w:val="hybridMultilevel"/>
    <w:tmpl w:val="0B620CDC"/>
    <w:name w:val="UnnamedList51989"/>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7EA24FB"/>
    <w:multiLevelType w:val="hybridMultilevel"/>
    <w:tmpl w:val="3CD4F21A"/>
    <w:name w:val="UnnamedList1951"/>
    <w:lvl w:ilvl="0" w:tplc="FFFFFFFF">
      <w:start w:val="1"/>
      <w:numFmt w:val="decimal"/>
      <w:lvlText w:val="%1."/>
      <w:lvlJc w:val="left"/>
      <w:pPr>
        <w:ind w:left="480" w:hanging="360"/>
      </w:pPr>
      <w:rPr>
        <w:rFonts w:ascii="Calibri" w:eastAsia="Calibri" w:hAnsi="Calibri" w:cs="Calibri" w:hint="default"/>
        <w:spacing w:val="-4"/>
        <w:w w:val="100"/>
        <w:sz w:val="24"/>
        <w:szCs w:val="24"/>
        <w:lang w:val="en-US" w:eastAsia="en-US" w:bidi="en-US"/>
      </w:rPr>
    </w:lvl>
    <w:lvl w:ilvl="1" w:tplc="FFFFFFFF">
      <w:numFmt w:val="bullet"/>
      <w:lvlText w:val="•"/>
      <w:lvlJc w:val="left"/>
      <w:pPr>
        <w:ind w:left="1468" w:hanging="360"/>
      </w:pPr>
      <w:rPr>
        <w:rFonts w:hint="default"/>
        <w:lang w:val="en-US" w:eastAsia="en-US" w:bidi="en-US"/>
      </w:rPr>
    </w:lvl>
    <w:lvl w:ilvl="2" w:tplc="FFFFFFFF">
      <w:numFmt w:val="bullet"/>
      <w:lvlText w:val="•"/>
      <w:lvlJc w:val="left"/>
      <w:pPr>
        <w:ind w:left="2456" w:hanging="360"/>
      </w:pPr>
      <w:rPr>
        <w:rFonts w:hint="default"/>
        <w:lang w:val="en-US" w:eastAsia="en-US" w:bidi="en-US"/>
      </w:rPr>
    </w:lvl>
    <w:lvl w:ilvl="3" w:tplc="FFFFFFFF">
      <w:numFmt w:val="bullet"/>
      <w:lvlText w:val="•"/>
      <w:lvlJc w:val="left"/>
      <w:pPr>
        <w:ind w:left="3444" w:hanging="360"/>
      </w:pPr>
      <w:rPr>
        <w:rFonts w:hint="default"/>
        <w:lang w:val="en-US" w:eastAsia="en-US" w:bidi="en-US"/>
      </w:rPr>
    </w:lvl>
    <w:lvl w:ilvl="4" w:tplc="FFFFFFFF">
      <w:numFmt w:val="bullet"/>
      <w:lvlText w:val="•"/>
      <w:lvlJc w:val="left"/>
      <w:pPr>
        <w:ind w:left="4432" w:hanging="360"/>
      </w:pPr>
      <w:rPr>
        <w:rFonts w:hint="default"/>
        <w:lang w:val="en-US" w:eastAsia="en-US" w:bidi="en-US"/>
      </w:rPr>
    </w:lvl>
    <w:lvl w:ilvl="5" w:tplc="FFFFFFFF">
      <w:numFmt w:val="bullet"/>
      <w:lvlText w:val="•"/>
      <w:lvlJc w:val="left"/>
      <w:pPr>
        <w:ind w:left="5420" w:hanging="360"/>
      </w:pPr>
      <w:rPr>
        <w:rFonts w:hint="default"/>
        <w:lang w:val="en-US" w:eastAsia="en-US" w:bidi="en-US"/>
      </w:rPr>
    </w:lvl>
    <w:lvl w:ilvl="6" w:tplc="FFFFFFFF">
      <w:numFmt w:val="bullet"/>
      <w:lvlText w:val="•"/>
      <w:lvlJc w:val="left"/>
      <w:pPr>
        <w:ind w:left="6408" w:hanging="360"/>
      </w:pPr>
      <w:rPr>
        <w:rFonts w:hint="default"/>
        <w:lang w:val="en-US" w:eastAsia="en-US" w:bidi="en-US"/>
      </w:rPr>
    </w:lvl>
    <w:lvl w:ilvl="7" w:tplc="FFFFFFFF">
      <w:numFmt w:val="bullet"/>
      <w:lvlText w:val="•"/>
      <w:lvlJc w:val="left"/>
      <w:pPr>
        <w:ind w:left="7396" w:hanging="360"/>
      </w:pPr>
      <w:rPr>
        <w:rFonts w:hint="default"/>
        <w:lang w:val="en-US" w:eastAsia="en-US" w:bidi="en-US"/>
      </w:rPr>
    </w:lvl>
    <w:lvl w:ilvl="8" w:tplc="FFFFFFFF">
      <w:numFmt w:val="bullet"/>
      <w:lvlText w:val="•"/>
      <w:lvlJc w:val="left"/>
      <w:pPr>
        <w:ind w:left="8384" w:hanging="360"/>
      </w:pPr>
      <w:rPr>
        <w:rFonts w:hint="default"/>
        <w:lang w:val="en-US" w:eastAsia="en-US" w:bidi="en-US"/>
      </w:rPr>
    </w:lvl>
  </w:abstractNum>
  <w:abstractNum w:abstractNumId="7" w15:restartNumberingAfterBreak="0">
    <w:nsid w:val="7915636A"/>
    <w:multiLevelType w:val="hybridMultilevel"/>
    <w:tmpl w:val="2B085CE8"/>
    <w:name w:val="UnnamedList77346"/>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6"/>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ManageDocInfoCache(AuthorId)" w:val="RTRASK"/>
    <w:docVar w:name="IManageDocInfoCache(ClientId)" w:val="SM019443"/>
    <w:docVar w:name="IManageDocInfoCache(DocumentDescription)" w:val="2025-06-18 Policy REB03 HREB Review  (clean draft)"/>
    <w:docVar w:name="IManageDocInfoCache(DocumentNumber)" w:val="4147-3583-2413"/>
    <w:docVar w:name="IManageDocInfoCache(DocumentVersion)" w:val="1"/>
    <w:docVar w:name="IManageDocInfoCache(Matter)" w:val="00011"/>
  </w:docVars>
  <w:rsids>
    <w:rsidRoot w:val="007807BA"/>
    <w:rsid w:val="00015D3E"/>
    <w:rsid w:val="0002037F"/>
    <w:rsid w:val="0002762D"/>
    <w:rsid w:val="000B653F"/>
    <w:rsid w:val="000E7455"/>
    <w:rsid w:val="001012D4"/>
    <w:rsid w:val="00162615"/>
    <w:rsid w:val="001A1384"/>
    <w:rsid w:val="001B0F44"/>
    <w:rsid w:val="0020515E"/>
    <w:rsid w:val="0033110B"/>
    <w:rsid w:val="00371AE7"/>
    <w:rsid w:val="003E7E02"/>
    <w:rsid w:val="0045793D"/>
    <w:rsid w:val="004D040B"/>
    <w:rsid w:val="005145D3"/>
    <w:rsid w:val="00530EC9"/>
    <w:rsid w:val="006A6EE1"/>
    <w:rsid w:val="006F06C8"/>
    <w:rsid w:val="006F39AA"/>
    <w:rsid w:val="00712252"/>
    <w:rsid w:val="00717388"/>
    <w:rsid w:val="00745722"/>
    <w:rsid w:val="007807BA"/>
    <w:rsid w:val="007B3ABB"/>
    <w:rsid w:val="007E3861"/>
    <w:rsid w:val="007F0993"/>
    <w:rsid w:val="007F38D1"/>
    <w:rsid w:val="008126F9"/>
    <w:rsid w:val="0087387F"/>
    <w:rsid w:val="00892D31"/>
    <w:rsid w:val="009348E9"/>
    <w:rsid w:val="00A728C6"/>
    <w:rsid w:val="00A876C0"/>
    <w:rsid w:val="00A96466"/>
    <w:rsid w:val="00B84334"/>
    <w:rsid w:val="00BC0ADD"/>
    <w:rsid w:val="00BD6BE1"/>
    <w:rsid w:val="00C20B4B"/>
    <w:rsid w:val="00C32A2B"/>
    <w:rsid w:val="00C94273"/>
    <w:rsid w:val="00C95A5D"/>
    <w:rsid w:val="00C97CB9"/>
    <w:rsid w:val="00D9450C"/>
    <w:rsid w:val="00DB5E27"/>
    <w:rsid w:val="00E01469"/>
    <w:rsid w:val="00E6042E"/>
    <w:rsid w:val="00E84F3B"/>
    <w:rsid w:val="00F65331"/>
    <w:rsid w:val="00F743B9"/>
    <w:rsid w:val="00FC31D0"/>
    <w:rsid w:val="00FF7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DE7DCB"/>
  <w15:docId w15:val="{D4469E3C-1EB1-45F6-A986-C7630DF19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480" w:hanging="361"/>
    </w:pPr>
  </w:style>
  <w:style w:type="paragraph" w:customStyle="1" w:styleId="TableParagraph">
    <w:name w:val="Table Paragraph"/>
    <w:basedOn w:val="Normal"/>
    <w:uiPriority w:val="1"/>
    <w:qFormat/>
    <w:pPr>
      <w:spacing w:before="81"/>
      <w:ind w:left="107"/>
    </w:pPr>
  </w:style>
  <w:style w:type="character" w:styleId="Hyperlink">
    <w:name w:val="Hyperlink"/>
    <w:basedOn w:val="DefaultParagraphFont"/>
    <w:uiPriority w:val="99"/>
    <w:unhideWhenUsed/>
    <w:rsid w:val="00F743B9"/>
    <w:rPr>
      <w:color w:val="0000FF" w:themeColor="hyperlink"/>
      <w:u w:val="single"/>
    </w:rPr>
  </w:style>
  <w:style w:type="paragraph" w:styleId="BalloonText">
    <w:name w:val="Balloon Text"/>
    <w:basedOn w:val="Normal"/>
    <w:link w:val="BalloonTextChar"/>
    <w:uiPriority w:val="99"/>
    <w:semiHidden/>
    <w:unhideWhenUsed/>
    <w:rsid w:val="007457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722"/>
    <w:rPr>
      <w:rFonts w:ascii="Segoe UI" w:eastAsia="Calibri" w:hAnsi="Segoe UI" w:cs="Segoe UI"/>
      <w:sz w:val="18"/>
      <w:szCs w:val="18"/>
      <w:lang w:bidi="en-US"/>
    </w:rPr>
  </w:style>
  <w:style w:type="paragraph" w:customStyle="1" w:styleId="longtitle">
    <w:name w:val="longtitle"/>
    <w:basedOn w:val="Normal"/>
    <w:rsid w:val="0074572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Revision">
    <w:name w:val="Revision"/>
    <w:hidden/>
    <w:uiPriority w:val="99"/>
    <w:semiHidden/>
    <w:rsid w:val="003E7E02"/>
    <w:pPr>
      <w:widowControl/>
      <w:autoSpaceDE/>
      <w:autoSpaceDN/>
    </w:pPr>
    <w:rPr>
      <w:rFonts w:ascii="Calibri" w:eastAsia="Calibri" w:hAnsi="Calibri" w:cs="Calibri"/>
      <w:lang w:bidi="en-US"/>
    </w:rPr>
  </w:style>
  <w:style w:type="character" w:styleId="CommentReference">
    <w:name w:val="annotation reference"/>
    <w:basedOn w:val="DefaultParagraphFont"/>
    <w:uiPriority w:val="99"/>
    <w:semiHidden/>
    <w:unhideWhenUsed/>
    <w:rsid w:val="003E7E02"/>
    <w:rPr>
      <w:sz w:val="16"/>
      <w:szCs w:val="16"/>
    </w:rPr>
  </w:style>
  <w:style w:type="paragraph" w:styleId="CommentText">
    <w:name w:val="annotation text"/>
    <w:basedOn w:val="Normal"/>
    <w:link w:val="CommentTextChar"/>
    <w:uiPriority w:val="99"/>
    <w:unhideWhenUsed/>
    <w:rsid w:val="003E7E02"/>
    <w:rPr>
      <w:sz w:val="20"/>
      <w:szCs w:val="20"/>
    </w:rPr>
  </w:style>
  <w:style w:type="character" w:customStyle="1" w:styleId="CommentTextChar">
    <w:name w:val="Comment Text Char"/>
    <w:basedOn w:val="DefaultParagraphFont"/>
    <w:link w:val="CommentText"/>
    <w:uiPriority w:val="99"/>
    <w:rsid w:val="003E7E02"/>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3E7E02"/>
    <w:rPr>
      <w:b/>
      <w:bCs/>
    </w:rPr>
  </w:style>
  <w:style w:type="character" w:customStyle="1" w:styleId="CommentSubjectChar">
    <w:name w:val="Comment Subject Char"/>
    <w:basedOn w:val="CommentTextChar"/>
    <w:link w:val="CommentSubject"/>
    <w:uiPriority w:val="99"/>
    <w:semiHidden/>
    <w:rsid w:val="003E7E02"/>
    <w:rPr>
      <w:rFonts w:ascii="Calibri" w:eastAsia="Calibri" w:hAnsi="Calibri" w:cs="Calibri"/>
      <w:b/>
      <w:bCs/>
      <w:sz w:val="20"/>
      <w:szCs w:val="20"/>
      <w:lang w:bidi="en-US"/>
    </w:rPr>
  </w:style>
  <w:style w:type="paragraph" w:styleId="Header">
    <w:name w:val="header"/>
    <w:basedOn w:val="Normal"/>
    <w:link w:val="HeaderChar"/>
    <w:uiPriority w:val="99"/>
    <w:unhideWhenUsed/>
    <w:rsid w:val="0002037F"/>
    <w:pPr>
      <w:tabs>
        <w:tab w:val="center" w:pos="4680"/>
        <w:tab w:val="right" w:pos="9360"/>
      </w:tabs>
    </w:pPr>
  </w:style>
  <w:style w:type="character" w:customStyle="1" w:styleId="HeaderChar">
    <w:name w:val="Header Char"/>
    <w:basedOn w:val="DefaultParagraphFont"/>
    <w:link w:val="Header"/>
    <w:uiPriority w:val="99"/>
    <w:rsid w:val="0002037F"/>
    <w:rPr>
      <w:rFonts w:ascii="Calibri" w:eastAsia="Calibri" w:hAnsi="Calibri" w:cs="Calibri"/>
      <w:lang w:bidi="en-US"/>
    </w:rPr>
  </w:style>
  <w:style w:type="paragraph" w:styleId="Footer">
    <w:name w:val="footer"/>
    <w:basedOn w:val="Normal"/>
    <w:link w:val="FooterChar"/>
    <w:uiPriority w:val="99"/>
    <w:unhideWhenUsed/>
    <w:rsid w:val="0002037F"/>
    <w:pPr>
      <w:tabs>
        <w:tab w:val="center" w:pos="4680"/>
        <w:tab w:val="right" w:pos="9360"/>
      </w:tabs>
    </w:pPr>
  </w:style>
  <w:style w:type="character" w:customStyle="1" w:styleId="FooterChar">
    <w:name w:val="Footer Char"/>
    <w:basedOn w:val="DefaultParagraphFont"/>
    <w:link w:val="Footer"/>
    <w:uiPriority w:val="99"/>
    <w:rsid w:val="0002037F"/>
    <w:rPr>
      <w:rFonts w:ascii="Calibri" w:eastAsia="Calibri" w:hAnsi="Calibri" w:cs="Calibri"/>
      <w:lang w:bidi="en-US"/>
    </w:rPr>
  </w:style>
  <w:style w:type="character" w:styleId="PlaceholderText">
    <w:name w:val="Placeholder Text"/>
    <w:basedOn w:val="DefaultParagraphFont"/>
    <w:uiPriority w:val="99"/>
    <w:semiHidden/>
    <w:rsid w:val="006F39AA"/>
    <w:rPr>
      <w:color w:val="666666"/>
    </w:rPr>
  </w:style>
  <w:style w:type="paragraph" w:customStyle="1" w:styleId="DocsID">
    <w:name w:val="DocsID"/>
    <w:basedOn w:val="Normal"/>
    <w:link w:val="DocsIDChar"/>
    <w:rsid w:val="006F39AA"/>
    <w:rPr>
      <w:color w:val="000080"/>
      <w:sz w:val="16"/>
    </w:rPr>
  </w:style>
  <w:style w:type="character" w:customStyle="1" w:styleId="DocsIDChar">
    <w:name w:val="DocsID Char"/>
    <w:basedOn w:val="DefaultParagraphFont"/>
    <w:link w:val="DocsID"/>
    <w:rsid w:val="006F39AA"/>
    <w:rPr>
      <w:rFonts w:ascii="Calibri" w:eastAsia="Calibri" w:hAnsi="Calibri" w:cs="Calibri"/>
      <w:color w:val="000080"/>
      <w:sz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thics.gc.ca/eng/documents/tcps2-2022-en.pdf" TargetMode="External"/><Relationship Id="rId4" Type="http://schemas.openxmlformats.org/officeDocument/2006/relationships/settings" Target="settings.xml"/><Relationship Id="rId9" Type="http://schemas.openxmlformats.org/officeDocument/2006/relationships/hyperlink" Target="https://www.assembly.nl.ca/legislation/sr/statutes/h01-03.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AA794-8C6D-4BDE-BF1D-023129629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945</Words>
  <Characters>5543</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Memorial University</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c67smn@mun.ca</dc:creator>
  <cp:lastModifiedBy>Mason, Barbara Ellen</cp:lastModifiedBy>
  <cp:revision>2</cp:revision>
  <dcterms:created xsi:type="dcterms:W3CDTF">2025-07-02T17:30:00Z</dcterms:created>
  <dcterms:modified xsi:type="dcterms:W3CDTF">2025-07-02T17:30:00Z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2021-09-27T00:00:00Z</vt:filetime>
  </property>
  <property fmtid="{D5CDD505-2E9C-101B-9397-08002B2CF9AE}" pid="3" name="Creator">
    <vt:lpwstr>Microsoft® Word 2016</vt:lpwstr>
  </property>
  <property fmtid="{D5CDD505-2E9C-101B-9397-08002B2CF9AE}" pid="4" name="LastSaved">
    <vt:filetime>2024-05-01T00:00:00Z</vt:filetime>
  </property>
  <property fmtid="{D5CDD505-2E9C-101B-9397-08002B2CF9AE}" pid="5" name="GrammarlyDocumentId">
    <vt:lpwstr>8cbe430f0b7c75635d715cb4996cfc8496c8a9d7855ca6e3f6d92282e0fa5e2e</vt:lpwstr>
  </property>
  <property fmtid="{D5CDD505-2E9C-101B-9397-08002B2CF9AE}" pid="6" name="MSIP_Label_a9e6066d-7a93-49ef-9665-8ecaf835c699_Enabled">
    <vt:lpwstr>true</vt:lpwstr>
  </property>
  <property fmtid="{D5CDD505-2E9C-101B-9397-08002B2CF9AE}" pid="7" name="MSIP_Label_a9e6066d-7a93-49ef-9665-8ecaf835c699_SetDate">
    <vt:lpwstr>2025-06-17T14:43:19Z</vt:lpwstr>
  </property>
  <property fmtid="{D5CDD505-2E9C-101B-9397-08002B2CF9AE}" pid="8" name="MSIP_Label_a9e6066d-7a93-49ef-9665-8ecaf835c699_Method">
    <vt:lpwstr>Standard</vt:lpwstr>
  </property>
  <property fmtid="{D5CDD505-2E9C-101B-9397-08002B2CF9AE}" pid="9" name="MSIP_Label_a9e6066d-7a93-49ef-9665-8ecaf835c699_Name">
    <vt:lpwstr>Confidential</vt:lpwstr>
  </property>
  <property fmtid="{D5CDD505-2E9C-101B-9397-08002B2CF9AE}" pid="10" name="MSIP_Label_a9e6066d-7a93-49ef-9665-8ecaf835c699_SiteId">
    <vt:lpwstr>1ec0cccf-2ced-4e7d-9a42-fd151429d9f2</vt:lpwstr>
  </property>
  <property fmtid="{D5CDD505-2E9C-101B-9397-08002B2CF9AE}" pid="11" name="MSIP_Label_a9e6066d-7a93-49ef-9665-8ecaf835c699_ActionId">
    <vt:lpwstr>05645bd0-99bd-4a8b-9a50-cc29c7d75df6</vt:lpwstr>
  </property>
  <property fmtid="{D5CDD505-2E9C-101B-9397-08002B2CF9AE}" pid="12" name="MSIP_Label_a9e6066d-7a93-49ef-9665-8ecaf835c699_ContentBits">
    <vt:lpwstr>0</vt:lpwstr>
  </property>
  <property fmtid="{D5CDD505-2E9C-101B-9397-08002B2CF9AE}" pid="13" name="MSIP_Label_a9e6066d-7a93-49ef-9665-8ecaf835c699_Tag">
    <vt:lpwstr>10, 3, 0, 1</vt:lpwstr>
  </property>
  <property fmtid="{D5CDD505-2E9C-101B-9397-08002B2CF9AE}" pid="14" name="WordLXNoDocIdAutoUpdate">
    <vt:lpwstr>False</vt:lpwstr>
  </property>
  <property fmtid="{D5CDD505-2E9C-101B-9397-08002B2CF9AE}" pid="15" name="DOCUMENTID-SETTINGS">
    <vt:lpwstr>0</vt:lpwstr>
  </property>
</Properties>
</file>